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883"/>
        <w:jc w:val="center"/>
        <w:rPr>
          <w:rFonts w:ascii="宋体" w:hAnsi="宋体" w:eastAsia="宋体" w:cs="宋体"/>
          <w:b/>
          <w:sz w:val="44"/>
          <w:szCs w:val="44"/>
          <w:lang w:eastAsia="zh-CN"/>
        </w:rPr>
      </w:pPr>
    </w:p>
    <w:p>
      <w:pPr>
        <w:ind w:left="0" w:leftChars="0" w:firstLine="0" w:firstLineChars="0"/>
        <w:jc w:val="center"/>
        <w:rPr>
          <w:rFonts w:ascii="宋体" w:hAnsi="宋体" w:eastAsia="宋体" w:cs="宋体"/>
          <w:b/>
          <w:sz w:val="44"/>
          <w:szCs w:val="44"/>
          <w:lang w:eastAsia="zh-CN"/>
        </w:rPr>
      </w:pPr>
      <w:r>
        <w:rPr>
          <w:rFonts w:hint="eastAsia" w:ascii="宋体" w:hAnsi="宋体" w:eastAsia="宋体" w:cs="宋体"/>
          <w:b/>
          <w:sz w:val="44"/>
          <w:szCs w:val="44"/>
          <w:lang w:val="en-US" w:eastAsia="zh-CN"/>
        </w:rPr>
        <w:t>许昌市第一</w:t>
      </w:r>
      <w:r>
        <w:rPr>
          <w:rFonts w:hint="eastAsia" w:ascii="宋体" w:hAnsi="宋体" w:eastAsia="宋体" w:cs="宋体"/>
          <w:b/>
          <w:sz w:val="44"/>
          <w:szCs w:val="44"/>
          <w:lang w:eastAsia="zh-CN"/>
        </w:rPr>
        <w:t>届职业技能大赛</w:t>
      </w:r>
    </w:p>
    <w:p>
      <w:pPr>
        <w:ind w:firstLine="0" w:firstLineChars="0"/>
        <w:jc w:val="center"/>
        <w:rPr>
          <w:rFonts w:ascii="宋体" w:hAnsi="宋体" w:eastAsia="宋体" w:cs="宋体"/>
          <w:b/>
          <w:sz w:val="44"/>
          <w:szCs w:val="44"/>
          <w:lang w:val="en-AU" w:eastAsia="zh-CN"/>
        </w:rPr>
      </w:pPr>
      <w:r>
        <w:rPr>
          <w:rFonts w:hint="eastAsia" w:ascii="宋体" w:hAnsi="宋体" w:cs="宋体"/>
          <w:b/>
          <w:sz w:val="44"/>
          <w:szCs w:val="44"/>
          <w:lang w:val="en-AU" w:eastAsia="zh-CN"/>
        </w:rPr>
        <w:t>汽车</w:t>
      </w:r>
      <w:r>
        <w:rPr>
          <w:rFonts w:hint="eastAsia" w:ascii="宋体" w:hAnsi="宋体" w:cs="宋体"/>
          <w:b/>
          <w:sz w:val="44"/>
          <w:szCs w:val="44"/>
          <w:lang w:val="en-US" w:eastAsia="zh-CN"/>
        </w:rPr>
        <w:t>技术</w:t>
      </w:r>
      <w:r>
        <w:rPr>
          <w:rFonts w:hint="eastAsia" w:ascii="宋体" w:hAnsi="宋体" w:eastAsia="宋体" w:cs="宋体"/>
          <w:b/>
          <w:sz w:val="44"/>
          <w:szCs w:val="44"/>
          <w:lang w:val="en-US" w:eastAsia="zh-CN"/>
        </w:rPr>
        <w:t>赛项</w:t>
      </w:r>
      <w:r>
        <w:rPr>
          <w:rFonts w:hint="eastAsia" w:ascii="宋体" w:hAnsi="宋体" w:eastAsia="宋体" w:cs="宋体"/>
          <w:b/>
          <w:sz w:val="44"/>
          <w:szCs w:val="44"/>
          <w:lang w:val="en-AU" w:eastAsia="zh-CN"/>
        </w:rPr>
        <w:t>技术工作文件</w:t>
      </w:r>
    </w:p>
    <w:p>
      <w:pPr>
        <w:pStyle w:val="12"/>
        <w:spacing w:line="360" w:lineRule="auto"/>
        <w:ind w:firstLine="360"/>
        <w:rPr>
          <w:rFonts w:ascii="LinTimes" w:hAnsi="LinTimes" w:eastAsia="微软雅黑" w:cs="LinTimes"/>
          <w:color w:val="auto"/>
          <w:lang w:eastAsia="zh-CN"/>
        </w:rPr>
      </w:pPr>
    </w:p>
    <w:p>
      <w:pPr>
        <w:ind w:firstLine="560"/>
        <w:rPr>
          <w:rFonts w:ascii="LinTimes" w:hAnsi="LinTimes" w:cs="LinTimes"/>
          <w:lang w:val="en-AU" w:eastAsia="zh-CN"/>
        </w:rPr>
      </w:pPr>
    </w:p>
    <w:p>
      <w:pPr>
        <w:ind w:firstLine="560"/>
        <w:rPr>
          <w:rFonts w:ascii="LinTimes" w:hAnsi="LinTimes" w:cs="LinTimes"/>
          <w:lang w:val="en-AU" w:eastAsia="zh-CN"/>
        </w:rPr>
      </w:pPr>
    </w:p>
    <w:p>
      <w:pPr>
        <w:ind w:firstLine="560"/>
        <w:rPr>
          <w:rFonts w:ascii="LinTimes" w:hAnsi="LinTimes" w:cs="LinTimes"/>
          <w:lang w:val="en-AU" w:eastAsia="zh-CN"/>
        </w:rPr>
      </w:pPr>
    </w:p>
    <w:p>
      <w:pPr>
        <w:ind w:firstLine="560"/>
        <w:rPr>
          <w:rFonts w:ascii="LinTimes" w:hAnsi="LinTimes" w:cs="LinTimes"/>
          <w:lang w:val="en-AU" w:eastAsia="zh-CN"/>
        </w:rPr>
      </w:pPr>
    </w:p>
    <w:p>
      <w:pPr>
        <w:pStyle w:val="13"/>
        <w:spacing w:line="360" w:lineRule="auto"/>
        <w:ind w:firstLine="480"/>
        <w:rPr>
          <w:rFonts w:ascii="LinTimes" w:hAnsi="LinTimes" w:cs="LinTimes"/>
          <w:lang w:val="en-AU" w:eastAsia="zh-CN"/>
        </w:rPr>
      </w:pPr>
    </w:p>
    <w:p>
      <w:pPr>
        <w:pStyle w:val="13"/>
        <w:spacing w:line="360" w:lineRule="auto"/>
        <w:ind w:firstLine="0" w:firstLineChars="0"/>
        <w:rPr>
          <w:rFonts w:ascii="LinTimes" w:hAnsi="LinTimes" w:cs="LinTimes"/>
          <w:lang w:val="en-AU" w:eastAsia="zh-CN"/>
        </w:rPr>
      </w:pPr>
    </w:p>
    <w:p>
      <w:pPr>
        <w:pStyle w:val="13"/>
        <w:spacing w:line="360" w:lineRule="auto"/>
        <w:ind w:firstLine="480"/>
        <w:rPr>
          <w:rFonts w:ascii="LinTimes" w:hAnsi="LinTimes" w:cs="LinTimes"/>
          <w:lang w:val="en-AU" w:eastAsia="zh-CN"/>
        </w:rPr>
      </w:pPr>
    </w:p>
    <w:p>
      <w:pPr>
        <w:pStyle w:val="13"/>
        <w:spacing w:line="360" w:lineRule="auto"/>
        <w:ind w:firstLine="480"/>
        <w:rPr>
          <w:rFonts w:ascii="LinTimes" w:hAnsi="LinTimes" w:cs="LinTimes"/>
          <w:lang w:val="en-AU" w:eastAsia="zh-CN"/>
        </w:rPr>
      </w:pPr>
    </w:p>
    <w:p>
      <w:pPr>
        <w:pStyle w:val="13"/>
        <w:spacing w:line="360" w:lineRule="auto"/>
        <w:ind w:firstLine="480"/>
        <w:rPr>
          <w:rFonts w:ascii="LinTimes" w:hAnsi="LinTimes" w:cs="LinTimes"/>
          <w:lang w:val="en-AU" w:eastAsia="zh-CN"/>
        </w:rPr>
      </w:pPr>
    </w:p>
    <w:p>
      <w:pPr>
        <w:pStyle w:val="13"/>
        <w:spacing w:line="360" w:lineRule="auto"/>
        <w:ind w:firstLine="480"/>
        <w:rPr>
          <w:rFonts w:ascii="LinTimes" w:hAnsi="LinTimes" w:cs="LinTimes"/>
          <w:lang w:val="en-AU" w:eastAsia="zh-CN"/>
        </w:rPr>
      </w:pPr>
    </w:p>
    <w:p>
      <w:pPr>
        <w:pStyle w:val="13"/>
        <w:spacing w:line="360" w:lineRule="auto"/>
        <w:ind w:firstLine="480"/>
        <w:rPr>
          <w:rFonts w:ascii="LinTimes" w:hAnsi="LinTimes" w:cs="LinTimes"/>
          <w:lang w:val="en-AU" w:eastAsia="zh-CN"/>
        </w:rPr>
      </w:pPr>
    </w:p>
    <w:p>
      <w:pPr>
        <w:ind w:firstLine="640"/>
        <w:jc w:val="center"/>
        <w:rPr>
          <w:rFonts w:ascii="LinTimes" w:hAnsi="LinTimes" w:eastAsia="宋体" w:cs="LinTimes"/>
          <w:sz w:val="32"/>
          <w:szCs w:val="32"/>
          <w:lang w:val="en-AU" w:eastAsia="zh-CN"/>
        </w:rPr>
      </w:pPr>
      <w:r>
        <w:rPr>
          <w:rFonts w:hint="eastAsia" w:ascii="LinTimes" w:hAnsi="LinTimes" w:cs="LinTimes"/>
          <w:sz w:val="32"/>
          <w:szCs w:val="32"/>
          <w:lang w:val="en-US" w:eastAsia="zh-CN"/>
        </w:rPr>
        <w:t>许昌市</w:t>
      </w:r>
      <w:r>
        <w:rPr>
          <w:rFonts w:hint="eastAsia" w:ascii="LinTimes" w:hAnsi="LinTimes" w:cs="LinTimes"/>
          <w:sz w:val="32"/>
          <w:szCs w:val="32"/>
          <w:lang w:val="en-AU" w:eastAsia="zh-CN"/>
        </w:rPr>
        <w:t>第</w:t>
      </w:r>
      <w:r>
        <w:rPr>
          <w:rFonts w:hint="eastAsia" w:ascii="LinTimes" w:hAnsi="LinTimes" w:cs="LinTimes"/>
          <w:sz w:val="32"/>
          <w:szCs w:val="32"/>
          <w:lang w:val="en-US" w:eastAsia="zh-CN"/>
        </w:rPr>
        <w:t>一</w:t>
      </w:r>
      <w:r>
        <w:rPr>
          <w:rFonts w:hint="eastAsia" w:ascii="LinTimes" w:hAnsi="LinTimes" w:cs="LinTimes"/>
          <w:sz w:val="32"/>
          <w:szCs w:val="32"/>
          <w:lang w:val="en-AU" w:eastAsia="zh-CN"/>
        </w:rPr>
        <w:t>届职业技能大赛组织委员会</w:t>
      </w:r>
    </w:p>
    <w:p>
      <w:pPr>
        <w:ind w:firstLine="640"/>
        <w:jc w:val="center"/>
        <w:rPr>
          <w:rFonts w:ascii="LinTimes" w:hAnsi="LinTimes" w:cs="LinTimes"/>
          <w:sz w:val="32"/>
          <w:szCs w:val="32"/>
          <w:lang w:val="en-AU"/>
        </w:rPr>
      </w:pPr>
      <w:r>
        <w:rPr>
          <w:rFonts w:ascii="LinTimes" w:hAnsi="LinTimes" w:cs="LinTimes"/>
          <w:sz w:val="32"/>
          <w:szCs w:val="32"/>
          <w:lang w:val="en-AU"/>
        </w:rPr>
        <w:t>技术</w:t>
      </w:r>
      <w:r>
        <w:rPr>
          <w:rFonts w:hint="eastAsia" w:ascii="LinTimes" w:hAnsi="LinTimes" w:cs="LinTimes"/>
          <w:sz w:val="32"/>
          <w:szCs w:val="32"/>
          <w:lang w:eastAsia="zh-CN"/>
        </w:rPr>
        <w:t>工作</w:t>
      </w:r>
      <w:r>
        <w:rPr>
          <w:rFonts w:ascii="LinTimes" w:hAnsi="LinTimes" w:cs="LinTimes"/>
          <w:sz w:val="32"/>
          <w:szCs w:val="32"/>
          <w:lang w:val="en-AU"/>
        </w:rPr>
        <w:t>组</w:t>
      </w:r>
    </w:p>
    <w:p>
      <w:pPr>
        <w:ind w:firstLine="560"/>
        <w:rPr>
          <w:rFonts w:ascii="LinTimes" w:hAnsi="LinTimes" w:cs="LinTimes"/>
          <w:lang w:val="en-AU"/>
        </w:rPr>
      </w:pPr>
    </w:p>
    <w:p>
      <w:pPr>
        <w:ind w:firstLine="640"/>
        <w:jc w:val="center"/>
        <w:rPr>
          <w:rFonts w:ascii="仿宋" w:hAnsi="仿宋" w:eastAsia="仿宋" w:cs="仿宋"/>
          <w:sz w:val="32"/>
          <w:szCs w:val="32"/>
          <w:lang w:val="en-AU"/>
        </w:rPr>
      </w:pPr>
      <w:r>
        <w:rPr>
          <w:rFonts w:hint="eastAsia" w:ascii="仿宋" w:hAnsi="仿宋" w:eastAsia="仿宋" w:cs="仿宋"/>
          <w:sz w:val="32"/>
          <w:szCs w:val="32"/>
          <w:lang w:val="en-AU"/>
        </w:rPr>
        <w:t>20</w:t>
      </w:r>
      <w:r>
        <w:rPr>
          <w:rFonts w:hint="eastAsia" w:ascii="仿宋" w:hAnsi="仿宋" w:eastAsia="仿宋" w:cs="仿宋"/>
          <w:sz w:val="32"/>
          <w:szCs w:val="32"/>
          <w:lang w:eastAsia="zh-CN"/>
        </w:rPr>
        <w:t>2</w:t>
      </w:r>
      <w:r>
        <w:rPr>
          <w:rFonts w:hint="eastAsia" w:ascii="仿宋" w:hAnsi="仿宋" w:eastAsia="仿宋" w:cs="仿宋"/>
          <w:sz w:val="32"/>
          <w:szCs w:val="32"/>
          <w:lang w:val="en-US" w:eastAsia="zh-CN"/>
        </w:rPr>
        <w:t>4</w:t>
      </w:r>
      <w:r>
        <w:rPr>
          <w:rFonts w:hint="eastAsia" w:ascii="仿宋" w:hAnsi="仿宋" w:eastAsia="仿宋" w:cs="仿宋"/>
          <w:sz w:val="32"/>
          <w:szCs w:val="32"/>
          <w:lang w:val="en-AU"/>
        </w:rPr>
        <w:t>年</w:t>
      </w:r>
      <w:r>
        <w:rPr>
          <w:rFonts w:hint="eastAsia" w:ascii="仿宋" w:hAnsi="仿宋" w:eastAsia="仿宋" w:cs="仿宋"/>
          <w:sz w:val="32"/>
          <w:szCs w:val="32"/>
          <w:lang w:val="en-US" w:eastAsia="zh-CN"/>
        </w:rPr>
        <w:t>4</w:t>
      </w:r>
      <w:r>
        <w:rPr>
          <w:rFonts w:hint="eastAsia" w:ascii="仿宋" w:hAnsi="仿宋" w:eastAsia="仿宋" w:cs="仿宋"/>
          <w:sz w:val="32"/>
          <w:szCs w:val="32"/>
          <w:lang w:val="en-AU"/>
        </w:rPr>
        <w:t>月</w:t>
      </w:r>
    </w:p>
    <w:p>
      <w:pPr>
        <w:pStyle w:val="5"/>
        <w:spacing w:before="284"/>
        <w:ind w:left="1648" w:right="1413" w:firstLine="480"/>
        <w:jc w:val="center"/>
        <w:rPr>
          <w:rFonts w:ascii="Times New Roman" w:hAnsi="Times New Roman" w:eastAsia="Times New Roman" w:cs="Times New Roman"/>
          <w:lang w:eastAsia="zh-CN"/>
        </w:rPr>
        <w:sectPr>
          <w:headerReference r:id="rId7" w:type="first"/>
          <w:footerReference r:id="rId10" w:type="first"/>
          <w:headerReference r:id="rId5" w:type="default"/>
          <w:footerReference r:id="rId8" w:type="default"/>
          <w:headerReference r:id="rId6" w:type="even"/>
          <w:footerReference r:id="rId9" w:type="even"/>
          <w:type w:val="continuous"/>
          <w:pgSz w:w="11910" w:h="16840"/>
          <w:pgMar w:top="1440" w:right="1417" w:bottom="1440" w:left="1417" w:header="720" w:footer="720" w:gutter="0"/>
          <w:cols w:space="720" w:num="1"/>
        </w:sectPr>
      </w:pPr>
    </w:p>
    <w:sdt>
      <w:sdtPr>
        <w:rPr>
          <w:rFonts w:ascii="宋体" w:hAnsi="宋体" w:eastAsia="宋体"/>
          <w:b/>
          <w:bCs/>
          <w:sz w:val="30"/>
          <w:szCs w:val="30"/>
        </w:rPr>
        <w:id w:val="147458777"/>
        <w15:color w:val="DBDBDB"/>
        <w:docPartObj>
          <w:docPartGallery w:val="Table of Contents"/>
          <w:docPartUnique/>
        </w:docPartObj>
      </w:sdtPr>
      <w:sdtEndPr>
        <w:rPr>
          <w:rFonts w:ascii="仿宋" w:hAnsi="仿宋" w:eastAsia="仿宋" w:cs="仿宋"/>
          <w:b/>
          <w:bCs/>
          <w:sz w:val="22"/>
          <w:szCs w:val="30"/>
          <w:lang w:eastAsia="zh-CN"/>
        </w:rPr>
      </w:sdtEndPr>
      <w:sdtContent>
        <w:p>
          <w:pPr>
            <w:spacing w:line="240" w:lineRule="auto"/>
            <w:ind w:firstLine="0" w:firstLineChars="0"/>
            <w:jc w:val="center"/>
            <w:rPr>
              <w:rFonts w:eastAsia="宋体"/>
              <w:b/>
              <w:bCs/>
              <w:sz w:val="30"/>
              <w:szCs w:val="30"/>
              <w:lang w:eastAsia="zh-CN"/>
            </w:rPr>
          </w:pPr>
          <w:r>
            <w:rPr>
              <w:rFonts w:hint="eastAsia" w:ascii="宋体" w:hAnsi="宋体" w:eastAsia="宋体"/>
              <w:b/>
              <w:bCs/>
              <w:sz w:val="30"/>
              <w:szCs w:val="30"/>
              <w:lang w:eastAsia="zh-CN"/>
            </w:rPr>
            <w:t>目  录</w:t>
          </w:r>
        </w:p>
        <w:p>
          <w:pPr>
            <w:pStyle w:val="10"/>
            <w:tabs>
              <w:tab w:val="right" w:leader="dot" w:pos="8633"/>
            </w:tabs>
            <w:ind w:firstLine="602"/>
          </w:pPr>
          <w:r>
            <w:rPr>
              <w:rFonts w:cs="仿宋"/>
              <w:lang w:eastAsia="zh-CN"/>
            </w:rPr>
            <w:fldChar w:fldCharType="begin"/>
          </w:r>
          <w:r>
            <w:rPr>
              <w:rFonts w:cs="仿宋"/>
              <w:lang w:eastAsia="zh-CN"/>
            </w:rPr>
            <w:instrText xml:space="preserve">TOC \o "1-2" \h \u </w:instrText>
          </w:r>
          <w:r>
            <w:rPr>
              <w:rFonts w:cs="仿宋"/>
              <w:lang w:eastAsia="zh-CN"/>
            </w:rPr>
            <w:fldChar w:fldCharType="separate"/>
          </w:r>
          <w:r>
            <w:fldChar w:fldCharType="begin"/>
          </w:r>
          <w:r>
            <w:instrText xml:space="preserve"> HYPERLINK \l "_Toc19227" </w:instrText>
          </w:r>
          <w:r>
            <w:fldChar w:fldCharType="separate"/>
          </w:r>
          <w:r>
            <w:rPr>
              <w:rFonts w:hint="eastAsia" w:ascii="黑体" w:hAnsi="黑体" w:eastAsia="黑体" w:cs="黑体"/>
              <w:bCs w:val="0"/>
              <w:lang w:eastAsia="zh-CN"/>
            </w:rPr>
            <w:t>一、技术描述</w:t>
          </w:r>
          <w:r>
            <w:tab/>
          </w:r>
          <w:r>
            <w:fldChar w:fldCharType="begin"/>
          </w:r>
          <w:r>
            <w:instrText xml:space="preserve"> PAGEREF _Toc19227 \h </w:instrText>
          </w:r>
          <w:r>
            <w:fldChar w:fldCharType="separate"/>
          </w:r>
          <w:r>
            <w:t>1</w:t>
          </w:r>
          <w:r>
            <w:fldChar w:fldCharType="end"/>
          </w:r>
          <w:r>
            <w:fldChar w:fldCharType="end"/>
          </w:r>
        </w:p>
        <w:p>
          <w:pPr>
            <w:pStyle w:val="11"/>
            <w:tabs>
              <w:tab w:val="right" w:leader="dot" w:pos="8633"/>
            </w:tabs>
            <w:ind w:firstLine="600"/>
          </w:pPr>
          <w:r>
            <w:fldChar w:fldCharType="begin"/>
          </w:r>
          <w:r>
            <w:instrText xml:space="preserve"> HYPERLINK \l "_Toc20853" </w:instrText>
          </w:r>
          <w:r>
            <w:fldChar w:fldCharType="separate"/>
          </w:r>
          <w:r>
            <w:rPr>
              <w:lang w:eastAsia="zh-CN"/>
            </w:rPr>
            <w:t>（一）项目概要</w:t>
          </w:r>
          <w:r>
            <w:tab/>
          </w:r>
          <w:r>
            <w:fldChar w:fldCharType="begin"/>
          </w:r>
          <w:r>
            <w:instrText xml:space="preserve"> PAGEREF _Toc20853 \h </w:instrText>
          </w:r>
          <w:r>
            <w:fldChar w:fldCharType="separate"/>
          </w:r>
          <w:r>
            <w:t>1</w:t>
          </w:r>
          <w:r>
            <w:fldChar w:fldCharType="end"/>
          </w:r>
          <w:r>
            <w:fldChar w:fldCharType="end"/>
          </w:r>
        </w:p>
        <w:p>
          <w:pPr>
            <w:pStyle w:val="11"/>
            <w:tabs>
              <w:tab w:val="right" w:leader="dot" w:pos="8633"/>
            </w:tabs>
            <w:ind w:firstLine="600"/>
            <w:rPr>
              <w:rFonts w:hint="eastAsia" w:eastAsia="仿宋"/>
              <w:lang w:val="en-US" w:eastAsia="zh-CN"/>
            </w:rPr>
          </w:pPr>
          <w:r>
            <w:fldChar w:fldCharType="begin"/>
          </w:r>
          <w:r>
            <w:instrText xml:space="preserve"> HYPERLINK \l "_Toc20761" </w:instrText>
          </w:r>
          <w:r>
            <w:fldChar w:fldCharType="separate"/>
          </w:r>
          <w:r>
            <w:rPr>
              <w:lang w:eastAsia="zh-CN"/>
            </w:rPr>
            <w:t>（二）基本知识与能力要求</w:t>
          </w:r>
          <w:r>
            <w:tab/>
          </w:r>
          <w:r>
            <w:fldChar w:fldCharType="end"/>
          </w:r>
          <w:r>
            <w:rPr>
              <w:rFonts w:hint="eastAsia"/>
              <w:lang w:val="en-US" w:eastAsia="zh-CN"/>
            </w:rPr>
            <w:t>1</w:t>
          </w:r>
        </w:p>
        <w:p>
          <w:pPr>
            <w:pStyle w:val="10"/>
            <w:tabs>
              <w:tab w:val="right" w:leader="dot" w:pos="8633"/>
            </w:tabs>
            <w:ind w:firstLine="602"/>
          </w:pPr>
          <w:r>
            <w:fldChar w:fldCharType="begin"/>
          </w:r>
          <w:r>
            <w:instrText xml:space="preserve"> HYPERLINK \l "_Toc2375" </w:instrText>
          </w:r>
          <w:r>
            <w:fldChar w:fldCharType="separate"/>
          </w:r>
          <w:r>
            <w:rPr>
              <w:rFonts w:hint="eastAsia" w:ascii="黑体" w:hAnsi="黑体" w:eastAsia="黑体" w:cs="黑体"/>
              <w:bCs w:val="0"/>
              <w:lang w:eastAsia="zh-CN"/>
            </w:rPr>
            <w:t>二、试题与评判标准</w:t>
          </w:r>
          <w:r>
            <w:tab/>
          </w:r>
          <w:r>
            <w:fldChar w:fldCharType="begin"/>
          </w:r>
          <w:r>
            <w:instrText xml:space="preserve"> PAGEREF _Toc2375 \h </w:instrText>
          </w:r>
          <w:r>
            <w:fldChar w:fldCharType="separate"/>
          </w:r>
          <w:r>
            <w:t>3</w:t>
          </w:r>
          <w:r>
            <w:fldChar w:fldCharType="end"/>
          </w:r>
          <w:r>
            <w:fldChar w:fldCharType="end"/>
          </w:r>
        </w:p>
        <w:p>
          <w:pPr>
            <w:pStyle w:val="11"/>
            <w:tabs>
              <w:tab w:val="right" w:leader="dot" w:pos="8633"/>
            </w:tabs>
            <w:ind w:firstLine="600"/>
          </w:pPr>
          <w:r>
            <w:fldChar w:fldCharType="begin"/>
          </w:r>
          <w:r>
            <w:instrText xml:space="preserve"> HYPERLINK \l "_Toc11743" </w:instrText>
          </w:r>
          <w:r>
            <w:fldChar w:fldCharType="separate"/>
          </w:r>
          <w:r>
            <w:rPr>
              <w:lang w:eastAsia="zh-CN"/>
            </w:rPr>
            <w:t>（一）试题</w:t>
          </w:r>
          <w:r>
            <w:tab/>
          </w:r>
          <w:r>
            <w:fldChar w:fldCharType="begin"/>
          </w:r>
          <w:r>
            <w:instrText xml:space="preserve"> PAGEREF _Toc11743 \h </w:instrText>
          </w:r>
          <w:r>
            <w:fldChar w:fldCharType="separate"/>
          </w:r>
          <w:r>
            <w:t>3</w:t>
          </w:r>
          <w:r>
            <w:fldChar w:fldCharType="end"/>
          </w:r>
          <w:r>
            <w:fldChar w:fldCharType="end"/>
          </w:r>
        </w:p>
        <w:p>
          <w:pPr>
            <w:pStyle w:val="11"/>
            <w:tabs>
              <w:tab w:val="right" w:leader="dot" w:pos="8633"/>
            </w:tabs>
            <w:ind w:firstLine="600"/>
          </w:pPr>
          <w:r>
            <w:fldChar w:fldCharType="begin"/>
          </w:r>
          <w:r>
            <w:instrText xml:space="preserve"> HYPERLINK \l "_Toc16736" </w:instrText>
          </w:r>
          <w:r>
            <w:fldChar w:fldCharType="separate"/>
          </w:r>
          <w:r>
            <w:rPr>
              <w:lang w:eastAsia="zh-CN"/>
            </w:rPr>
            <w:t>（二）比赛时间及试题具体内容</w:t>
          </w:r>
          <w:r>
            <w:tab/>
          </w:r>
          <w:r>
            <w:fldChar w:fldCharType="begin"/>
          </w:r>
          <w:r>
            <w:instrText xml:space="preserve"> PAGEREF _Toc16736 \h </w:instrText>
          </w:r>
          <w:r>
            <w:fldChar w:fldCharType="separate"/>
          </w:r>
          <w:r>
            <w:t>4</w:t>
          </w:r>
          <w:r>
            <w:fldChar w:fldCharType="end"/>
          </w:r>
          <w:r>
            <w:fldChar w:fldCharType="end"/>
          </w:r>
        </w:p>
        <w:p>
          <w:pPr>
            <w:pStyle w:val="11"/>
            <w:tabs>
              <w:tab w:val="right" w:leader="dot" w:pos="8633"/>
            </w:tabs>
            <w:ind w:firstLine="600"/>
          </w:pPr>
          <w:r>
            <w:fldChar w:fldCharType="begin"/>
          </w:r>
          <w:r>
            <w:instrText xml:space="preserve"> HYPERLINK \l "_Toc2290" </w:instrText>
          </w:r>
          <w:r>
            <w:fldChar w:fldCharType="separate"/>
          </w:r>
          <w:r>
            <w:rPr>
              <w:lang w:eastAsia="zh-CN"/>
            </w:rPr>
            <w:t>（三）评判标准</w:t>
          </w:r>
          <w:r>
            <w:tab/>
          </w:r>
          <w:r>
            <w:fldChar w:fldCharType="begin"/>
          </w:r>
          <w:r>
            <w:instrText xml:space="preserve"> PAGEREF _Toc2290 \h </w:instrText>
          </w:r>
          <w:r>
            <w:fldChar w:fldCharType="separate"/>
          </w:r>
          <w:r>
            <w:t>6</w:t>
          </w:r>
          <w:r>
            <w:fldChar w:fldCharType="end"/>
          </w:r>
          <w:r>
            <w:fldChar w:fldCharType="end"/>
          </w:r>
        </w:p>
        <w:p>
          <w:pPr>
            <w:pStyle w:val="10"/>
            <w:tabs>
              <w:tab w:val="right" w:leader="dot" w:pos="8633"/>
            </w:tabs>
            <w:ind w:firstLine="602"/>
          </w:pPr>
          <w:r>
            <w:fldChar w:fldCharType="begin"/>
          </w:r>
          <w:r>
            <w:instrText xml:space="preserve"> HYPERLINK \l "_Toc23081" </w:instrText>
          </w:r>
          <w:r>
            <w:fldChar w:fldCharType="separate"/>
          </w:r>
          <w:r>
            <w:rPr>
              <w:rFonts w:hint="eastAsia" w:ascii="黑体" w:hAnsi="黑体" w:eastAsia="黑体" w:cs="黑体"/>
              <w:bCs w:val="0"/>
              <w:lang w:eastAsia="zh-CN"/>
            </w:rPr>
            <w:t>三、竞赛细则</w:t>
          </w:r>
          <w:r>
            <w:tab/>
          </w:r>
          <w:r>
            <w:rPr>
              <w:rFonts w:hint="eastAsia"/>
              <w:lang w:val="en-US" w:eastAsia="zh-CN"/>
            </w:rPr>
            <w:t>8</w:t>
          </w:r>
          <w:r>
            <w:fldChar w:fldCharType="end"/>
          </w:r>
        </w:p>
        <w:p>
          <w:pPr>
            <w:pStyle w:val="11"/>
            <w:tabs>
              <w:tab w:val="right" w:leader="dot" w:pos="8633"/>
            </w:tabs>
            <w:ind w:firstLine="600"/>
          </w:pPr>
          <w:r>
            <w:fldChar w:fldCharType="begin"/>
          </w:r>
          <w:r>
            <w:instrText xml:space="preserve"> HYPERLINK \l "_Toc9257" </w:instrText>
          </w:r>
          <w:r>
            <w:fldChar w:fldCharType="separate"/>
          </w:r>
          <w:r>
            <w:rPr>
              <w:lang w:eastAsia="zh-CN"/>
            </w:rPr>
            <w:t>（一）比赛日程安排</w:t>
          </w:r>
          <w:r>
            <w:tab/>
          </w:r>
          <w:r>
            <w:rPr>
              <w:rFonts w:hint="eastAsia"/>
              <w:lang w:val="en-US" w:eastAsia="zh-CN"/>
            </w:rPr>
            <w:t>8</w:t>
          </w:r>
          <w:r>
            <w:fldChar w:fldCharType="end"/>
          </w:r>
        </w:p>
        <w:p>
          <w:pPr>
            <w:pStyle w:val="11"/>
            <w:tabs>
              <w:tab w:val="right" w:leader="dot" w:pos="8633"/>
            </w:tabs>
            <w:ind w:firstLine="600"/>
          </w:pPr>
          <w:r>
            <w:fldChar w:fldCharType="begin"/>
          </w:r>
          <w:r>
            <w:instrText xml:space="preserve"> HYPERLINK \l "_Toc11502" </w:instrText>
          </w:r>
          <w:r>
            <w:fldChar w:fldCharType="separate"/>
          </w:r>
          <w:r>
            <w:rPr>
              <w:rFonts w:hint="eastAsia" w:ascii="楷体" w:hAnsi="楷体" w:eastAsia="楷体" w:cs="楷体"/>
              <w:bCs/>
              <w:szCs w:val="32"/>
            </w:rPr>
            <w:t>（一）选手报名要求</w:t>
          </w:r>
          <w:r>
            <w:tab/>
          </w:r>
          <w:r>
            <w:fldChar w:fldCharType="begin"/>
          </w:r>
          <w:r>
            <w:instrText xml:space="preserve"> PAGEREF _Toc11502 \h </w:instrText>
          </w:r>
          <w:r>
            <w:fldChar w:fldCharType="separate"/>
          </w:r>
          <w:r>
            <w:t>9</w:t>
          </w:r>
          <w:r>
            <w:fldChar w:fldCharType="end"/>
          </w:r>
          <w:r>
            <w:fldChar w:fldCharType="end"/>
          </w:r>
        </w:p>
        <w:p>
          <w:pPr>
            <w:pStyle w:val="11"/>
            <w:tabs>
              <w:tab w:val="right" w:leader="dot" w:pos="8633"/>
            </w:tabs>
            <w:ind w:firstLine="600"/>
          </w:pPr>
          <w:r>
            <w:fldChar w:fldCharType="begin"/>
          </w:r>
          <w:r>
            <w:instrText xml:space="preserve"> HYPERLINK \l "_Toc16197" </w:instrText>
          </w:r>
          <w:r>
            <w:fldChar w:fldCharType="separate"/>
          </w:r>
          <w:r>
            <w:rPr>
              <w:rFonts w:hint="eastAsia" w:ascii="楷体" w:hAnsi="楷体" w:eastAsia="楷体" w:cs="楷体"/>
              <w:bCs/>
              <w:szCs w:val="32"/>
            </w:rPr>
            <w:t>（</w:t>
          </w:r>
          <w:r>
            <w:rPr>
              <w:rFonts w:hint="eastAsia" w:ascii="楷体" w:hAnsi="楷体" w:eastAsia="楷体" w:cs="楷体"/>
              <w:bCs/>
              <w:szCs w:val="32"/>
              <w:lang w:eastAsia="zh-CN"/>
            </w:rPr>
            <w:t>二</w:t>
          </w:r>
          <w:r>
            <w:rPr>
              <w:rFonts w:hint="eastAsia" w:ascii="楷体" w:hAnsi="楷体" w:eastAsia="楷体" w:cs="楷体"/>
              <w:bCs/>
              <w:szCs w:val="32"/>
            </w:rPr>
            <w:t>）裁判人员</w:t>
          </w:r>
          <w:r>
            <w:tab/>
          </w:r>
          <w:r>
            <w:fldChar w:fldCharType="begin"/>
          </w:r>
          <w:r>
            <w:instrText xml:space="preserve"> PAGEREF _Toc16197 \h </w:instrText>
          </w:r>
          <w:r>
            <w:fldChar w:fldCharType="separate"/>
          </w:r>
          <w:r>
            <w:t>10</w:t>
          </w:r>
          <w:r>
            <w:fldChar w:fldCharType="end"/>
          </w:r>
          <w:r>
            <w:fldChar w:fldCharType="end"/>
          </w:r>
        </w:p>
        <w:p>
          <w:pPr>
            <w:pStyle w:val="11"/>
            <w:tabs>
              <w:tab w:val="right" w:leader="dot" w:pos="8633"/>
            </w:tabs>
            <w:ind w:firstLine="600"/>
          </w:pPr>
          <w:r>
            <w:fldChar w:fldCharType="begin"/>
          </w:r>
          <w:r>
            <w:instrText xml:space="preserve"> HYPERLINK \l "_Toc8064" </w:instrText>
          </w:r>
          <w:r>
            <w:fldChar w:fldCharType="separate"/>
          </w:r>
          <w:r>
            <w:rPr>
              <w:lang w:eastAsia="zh-CN"/>
            </w:rPr>
            <w:t>（</w:t>
          </w:r>
          <w:r>
            <w:rPr>
              <w:rFonts w:hint="eastAsia"/>
              <w:lang w:eastAsia="zh-CN"/>
            </w:rPr>
            <w:t>三</w:t>
          </w:r>
          <w:r>
            <w:rPr>
              <w:lang w:eastAsia="zh-CN"/>
            </w:rPr>
            <w:t>）</w:t>
          </w:r>
          <w:r>
            <w:rPr>
              <w:rFonts w:hint="eastAsia"/>
              <w:lang w:eastAsia="zh-CN"/>
            </w:rPr>
            <w:t>竞赛</w:t>
          </w:r>
          <w:r>
            <w:rPr>
              <w:lang w:eastAsia="zh-CN"/>
            </w:rPr>
            <w:t>工作要求</w:t>
          </w:r>
          <w:r>
            <w:tab/>
          </w:r>
          <w:r>
            <w:fldChar w:fldCharType="begin"/>
          </w:r>
          <w:r>
            <w:instrText xml:space="preserve"> PAGEREF _Toc8064 \h </w:instrText>
          </w:r>
          <w:r>
            <w:fldChar w:fldCharType="separate"/>
          </w:r>
          <w:r>
            <w:t>11</w:t>
          </w:r>
          <w:r>
            <w:fldChar w:fldCharType="end"/>
          </w:r>
          <w:r>
            <w:fldChar w:fldCharType="end"/>
          </w:r>
        </w:p>
        <w:p>
          <w:pPr>
            <w:pStyle w:val="11"/>
            <w:tabs>
              <w:tab w:val="right" w:leader="dot" w:pos="8633"/>
            </w:tabs>
            <w:ind w:firstLine="600"/>
          </w:pPr>
          <w:r>
            <w:fldChar w:fldCharType="begin"/>
          </w:r>
          <w:r>
            <w:instrText xml:space="preserve"> HYPERLINK \l "_Toc8576" </w:instrText>
          </w:r>
          <w:r>
            <w:fldChar w:fldCharType="separate"/>
          </w:r>
          <w:r>
            <w:rPr>
              <w:lang w:eastAsia="zh-CN"/>
            </w:rPr>
            <w:t>（</w:t>
          </w:r>
          <w:r>
            <w:rPr>
              <w:rFonts w:hint="eastAsia"/>
              <w:lang w:eastAsia="zh-CN"/>
            </w:rPr>
            <w:t>四</w:t>
          </w:r>
          <w:r>
            <w:rPr>
              <w:lang w:eastAsia="zh-CN"/>
            </w:rPr>
            <w:t>）</w:t>
          </w:r>
          <w:r>
            <w:rPr>
              <w:rFonts w:hint="eastAsia"/>
              <w:lang w:eastAsia="zh-CN"/>
            </w:rPr>
            <w:t>竞赛</w:t>
          </w:r>
          <w:r>
            <w:rPr>
              <w:lang w:eastAsia="zh-CN"/>
            </w:rPr>
            <w:t>纪律</w:t>
          </w:r>
          <w:r>
            <w:rPr>
              <w:rFonts w:hint="eastAsia"/>
              <w:lang w:eastAsia="zh-CN"/>
            </w:rPr>
            <w:t>要求</w:t>
          </w:r>
          <w:r>
            <w:tab/>
          </w:r>
          <w:r>
            <w:fldChar w:fldCharType="begin"/>
          </w:r>
          <w:r>
            <w:instrText xml:space="preserve"> PAGEREF _Toc8576 \h </w:instrText>
          </w:r>
          <w:r>
            <w:fldChar w:fldCharType="separate"/>
          </w:r>
          <w:r>
            <w:t>12</w:t>
          </w:r>
          <w:r>
            <w:fldChar w:fldCharType="end"/>
          </w:r>
          <w:r>
            <w:fldChar w:fldCharType="end"/>
          </w:r>
        </w:p>
        <w:p>
          <w:pPr>
            <w:pStyle w:val="11"/>
            <w:tabs>
              <w:tab w:val="right" w:leader="dot" w:pos="8633"/>
            </w:tabs>
            <w:ind w:firstLine="600"/>
          </w:pPr>
          <w:r>
            <w:fldChar w:fldCharType="begin"/>
          </w:r>
          <w:r>
            <w:instrText xml:space="preserve"> HYPERLINK \l "_Toc14874" </w:instrText>
          </w:r>
          <w:r>
            <w:fldChar w:fldCharType="separate"/>
          </w:r>
          <w:r>
            <w:rPr>
              <w:rFonts w:hint="eastAsia" w:ascii="楷体" w:hAnsi="楷体" w:eastAsia="楷体" w:cs="楷体"/>
              <w:bCs/>
              <w:szCs w:val="32"/>
              <w:lang w:eastAsia="zh-CN"/>
            </w:rPr>
            <w:t>（五）问题或争议处理</w:t>
          </w:r>
          <w:r>
            <w:tab/>
          </w:r>
          <w:r>
            <w:fldChar w:fldCharType="begin"/>
          </w:r>
          <w:r>
            <w:instrText xml:space="preserve"> PAGEREF _Toc14874 \h </w:instrText>
          </w:r>
          <w:r>
            <w:fldChar w:fldCharType="separate"/>
          </w:r>
          <w:r>
            <w:t>15</w:t>
          </w:r>
          <w:r>
            <w:fldChar w:fldCharType="end"/>
          </w:r>
          <w:r>
            <w:fldChar w:fldCharType="end"/>
          </w:r>
        </w:p>
        <w:p>
          <w:pPr>
            <w:pStyle w:val="10"/>
            <w:tabs>
              <w:tab w:val="right" w:leader="dot" w:pos="8633"/>
            </w:tabs>
            <w:ind w:firstLine="602"/>
          </w:pPr>
          <w:r>
            <w:fldChar w:fldCharType="begin"/>
          </w:r>
          <w:r>
            <w:instrText xml:space="preserve"> HYPERLINK \l "_Toc16493" </w:instrText>
          </w:r>
          <w:r>
            <w:fldChar w:fldCharType="separate"/>
          </w:r>
          <w:r>
            <w:rPr>
              <w:rFonts w:hint="eastAsia" w:ascii="黑体" w:hAnsi="黑体" w:eastAsia="黑体" w:cs="黑体"/>
              <w:bCs w:val="0"/>
              <w:lang w:eastAsia="zh-CN"/>
            </w:rPr>
            <w:t>四、竞赛场地、设施设备</w:t>
          </w:r>
          <w:r>
            <w:tab/>
          </w:r>
          <w:r>
            <w:fldChar w:fldCharType="begin"/>
          </w:r>
          <w:r>
            <w:instrText xml:space="preserve"> PAGEREF _Toc16493 \h </w:instrText>
          </w:r>
          <w:r>
            <w:fldChar w:fldCharType="separate"/>
          </w:r>
          <w:r>
            <w:t>15</w:t>
          </w:r>
          <w:r>
            <w:fldChar w:fldCharType="end"/>
          </w:r>
          <w:r>
            <w:fldChar w:fldCharType="end"/>
          </w:r>
        </w:p>
        <w:p>
          <w:pPr>
            <w:pStyle w:val="11"/>
            <w:tabs>
              <w:tab w:val="right" w:leader="dot" w:pos="8633"/>
            </w:tabs>
            <w:ind w:firstLine="600"/>
          </w:pPr>
          <w:r>
            <w:fldChar w:fldCharType="begin"/>
          </w:r>
          <w:r>
            <w:instrText xml:space="preserve"> HYPERLINK \l "_Toc31040" </w:instrText>
          </w:r>
          <w:r>
            <w:fldChar w:fldCharType="separate"/>
          </w:r>
          <w:r>
            <w:rPr>
              <w:lang w:eastAsia="zh-CN"/>
            </w:rPr>
            <w:t>（一）赛场规格要求</w:t>
          </w:r>
          <w:r>
            <w:tab/>
          </w:r>
          <w:r>
            <w:fldChar w:fldCharType="begin"/>
          </w:r>
          <w:r>
            <w:instrText xml:space="preserve"> PAGEREF _Toc31040 \h </w:instrText>
          </w:r>
          <w:r>
            <w:fldChar w:fldCharType="separate"/>
          </w:r>
          <w:r>
            <w:t>15</w:t>
          </w:r>
          <w:r>
            <w:fldChar w:fldCharType="end"/>
          </w:r>
          <w:r>
            <w:fldChar w:fldCharType="end"/>
          </w:r>
        </w:p>
        <w:p>
          <w:pPr>
            <w:pStyle w:val="11"/>
            <w:tabs>
              <w:tab w:val="right" w:leader="dot" w:pos="8633"/>
            </w:tabs>
            <w:ind w:firstLine="600"/>
          </w:pPr>
          <w:r>
            <w:fldChar w:fldCharType="begin"/>
          </w:r>
          <w:r>
            <w:instrText xml:space="preserve"> HYPERLINK \l "_Toc30418" </w:instrText>
          </w:r>
          <w:r>
            <w:fldChar w:fldCharType="separate"/>
          </w:r>
          <w:r>
            <w:rPr>
              <w:lang w:eastAsia="zh-CN"/>
            </w:rPr>
            <w:t>（二）场地布局图</w:t>
          </w:r>
          <w:r>
            <w:tab/>
          </w:r>
          <w:r>
            <w:fldChar w:fldCharType="begin"/>
          </w:r>
          <w:r>
            <w:instrText xml:space="preserve"> PAGEREF _Toc30418 \h </w:instrText>
          </w:r>
          <w:r>
            <w:fldChar w:fldCharType="separate"/>
          </w:r>
          <w:r>
            <w:t>17</w:t>
          </w:r>
          <w:r>
            <w:fldChar w:fldCharType="end"/>
          </w:r>
          <w:r>
            <w:fldChar w:fldCharType="end"/>
          </w:r>
        </w:p>
        <w:p>
          <w:pPr>
            <w:pStyle w:val="11"/>
            <w:tabs>
              <w:tab w:val="right" w:leader="dot" w:pos="8633"/>
            </w:tabs>
            <w:ind w:firstLine="600"/>
          </w:pPr>
          <w:r>
            <w:fldChar w:fldCharType="begin"/>
          </w:r>
          <w:r>
            <w:instrText xml:space="preserve"> HYPERLINK \l "_Toc9130" </w:instrText>
          </w:r>
          <w:r>
            <w:fldChar w:fldCharType="separate"/>
          </w:r>
          <w:r>
            <w:rPr>
              <w:lang w:eastAsia="zh-CN"/>
            </w:rPr>
            <w:t>（三）基础设施清单</w:t>
          </w:r>
          <w:r>
            <w:tab/>
          </w:r>
          <w:r>
            <w:fldChar w:fldCharType="begin"/>
          </w:r>
          <w:r>
            <w:instrText xml:space="preserve"> PAGEREF _Toc9130 \h </w:instrText>
          </w:r>
          <w:r>
            <w:fldChar w:fldCharType="separate"/>
          </w:r>
          <w:r>
            <w:t>18</w:t>
          </w:r>
          <w:r>
            <w:fldChar w:fldCharType="end"/>
          </w:r>
          <w:r>
            <w:fldChar w:fldCharType="end"/>
          </w:r>
        </w:p>
        <w:p>
          <w:pPr>
            <w:pStyle w:val="10"/>
            <w:tabs>
              <w:tab w:val="right" w:leader="dot" w:pos="8633"/>
            </w:tabs>
            <w:ind w:firstLine="602"/>
          </w:pPr>
          <w:r>
            <w:fldChar w:fldCharType="begin"/>
          </w:r>
          <w:r>
            <w:instrText xml:space="preserve"> HYPERLINK \l "_Toc4971" </w:instrText>
          </w:r>
          <w:r>
            <w:fldChar w:fldCharType="separate"/>
          </w:r>
          <w:r>
            <w:rPr>
              <w:rFonts w:hint="eastAsia" w:ascii="黑体" w:hAnsi="黑体" w:eastAsia="黑体" w:cs="黑体"/>
              <w:bCs w:val="0"/>
            </w:rPr>
            <w:t>五、安全、健康要求</w:t>
          </w:r>
          <w:r>
            <w:tab/>
          </w:r>
          <w:r>
            <w:fldChar w:fldCharType="begin"/>
          </w:r>
          <w:r>
            <w:instrText xml:space="preserve"> PAGEREF _Toc4971 \h </w:instrText>
          </w:r>
          <w:r>
            <w:fldChar w:fldCharType="separate"/>
          </w:r>
          <w:r>
            <w:t>19</w:t>
          </w:r>
          <w:r>
            <w:fldChar w:fldCharType="end"/>
          </w:r>
          <w:r>
            <w:fldChar w:fldCharType="end"/>
          </w:r>
        </w:p>
        <w:p>
          <w:pPr>
            <w:pStyle w:val="11"/>
            <w:tabs>
              <w:tab w:val="right" w:leader="dot" w:pos="8633"/>
            </w:tabs>
            <w:ind w:firstLine="600"/>
          </w:pPr>
          <w:r>
            <w:fldChar w:fldCharType="begin"/>
          </w:r>
          <w:r>
            <w:instrText xml:space="preserve"> HYPERLINK \l "_Toc27773" </w:instrText>
          </w:r>
          <w:r>
            <w:fldChar w:fldCharType="separate"/>
          </w:r>
          <w:r>
            <w:rPr>
              <w:lang w:eastAsia="zh-CN"/>
            </w:rPr>
            <w:t>（一）选手需使用防护装备</w:t>
          </w:r>
          <w:r>
            <w:tab/>
          </w:r>
          <w:r>
            <w:fldChar w:fldCharType="begin"/>
          </w:r>
          <w:r>
            <w:instrText xml:space="preserve"> PAGEREF _Toc27773 \h </w:instrText>
          </w:r>
          <w:r>
            <w:fldChar w:fldCharType="separate"/>
          </w:r>
          <w:r>
            <w:t>19</w:t>
          </w:r>
          <w:r>
            <w:fldChar w:fldCharType="end"/>
          </w:r>
          <w:r>
            <w:fldChar w:fldCharType="end"/>
          </w:r>
        </w:p>
        <w:p>
          <w:pPr>
            <w:pStyle w:val="11"/>
            <w:tabs>
              <w:tab w:val="right" w:leader="dot" w:pos="8633"/>
            </w:tabs>
            <w:ind w:firstLine="600"/>
          </w:pPr>
          <w:r>
            <w:fldChar w:fldCharType="begin"/>
          </w:r>
          <w:r>
            <w:instrText xml:space="preserve"> HYPERLINK \l "_Toc1720" </w:instrText>
          </w:r>
          <w:r>
            <w:fldChar w:fldCharType="separate"/>
          </w:r>
          <w:r>
            <w:rPr>
              <w:lang w:eastAsia="zh-CN"/>
            </w:rPr>
            <w:t>（二）禁止携带易燃易爆物品</w:t>
          </w:r>
          <w:r>
            <w:tab/>
          </w:r>
          <w:r>
            <w:fldChar w:fldCharType="begin"/>
          </w:r>
          <w:r>
            <w:instrText xml:space="preserve"> PAGEREF _Toc1720 \h </w:instrText>
          </w:r>
          <w:r>
            <w:fldChar w:fldCharType="separate"/>
          </w:r>
          <w:r>
            <w:t>20</w:t>
          </w:r>
          <w:r>
            <w:fldChar w:fldCharType="end"/>
          </w:r>
          <w:r>
            <w:fldChar w:fldCharType="end"/>
          </w:r>
        </w:p>
        <w:p>
          <w:pPr>
            <w:pStyle w:val="11"/>
            <w:tabs>
              <w:tab w:val="right" w:leader="dot" w:pos="8633"/>
            </w:tabs>
            <w:ind w:firstLine="600"/>
          </w:pPr>
          <w:r>
            <w:fldChar w:fldCharType="begin"/>
          </w:r>
          <w:r>
            <w:instrText xml:space="preserve"> HYPERLINK \l "_Toc11361" </w:instrText>
          </w:r>
          <w:r>
            <w:fldChar w:fldCharType="separate"/>
          </w:r>
          <w:r>
            <w:t>（三）健康和安全操作</w:t>
          </w:r>
          <w:r>
            <w:tab/>
          </w:r>
          <w:r>
            <w:fldChar w:fldCharType="begin"/>
          </w:r>
          <w:r>
            <w:instrText xml:space="preserve"> PAGEREF _Toc11361 \h </w:instrText>
          </w:r>
          <w:r>
            <w:fldChar w:fldCharType="separate"/>
          </w:r>
          <w:r>
            <w:t>21</w:t>
          </w:r>
          <w:r>
            <w:fldChar w:fldCharType="end"/>
          </w:r>
          <w:r>
            <w:fldChar w:fldCharType="end"/>
          </w:r>
        </w:p>
        <w:p>
          <w:pPr>
            <w:pStyle w:val="11"/>
            <w:tabs>
              <w:tab w:val="right" w:leader="dot" w:pos="8633"/>
            </w:tabs>
            <w:ind w:firstLine="600"/>
          </w:pPr>
          <w:r>
            <w:fldChar w:fldCharType="begin"/>
          </w:r>
          <w:r>
            <w:instrText xml:space="preserve"> HYPERLINK \l "_Toc28739" </w:instrText>
          </w:r>
          <w:r>
            <w:fldChar w:fldCharType="separate"/>
          </w:r>
          <w:r>
            <w:rPr>
              <w:lang w:eastAsia="zh-CN"/>
            </w:rPr>
            <w:t>（四）赛场通道</w:t>
          </w:r>
          <w:r>
            <w:tab/>
          </w:r>
          <w:r>
            <w:fldChar w:fldCharType="begin"/>
          </w:r>
          <w:r>
            <w:instrText xml:space="preserve"> PAGEREF _Toc28739 \h </w:instrText>
          </w:r>
          <w:r>
            <w:fldChar w:fldCharType="separate"/>
          </w:r>
          <w:r>
            <w:t>21</w:t>
          </w:r>
          <w:r>
            <w:fldChar w:fldCharType="end"/>
          </w:r>
          <w:r>
            <w:fldChar w:fldCharType="end"/>
          </w:r>
        </w:p>
        <w:p>
          <w:pPr>
            <w:pStyle w:val="11"/>
            <w:tabs>
              <w:tab w:val="right" w:leader="dot" w:pos="8633"/>
            </w:tabs>
            <w:ind w:firstLine="600"/>
          </w:pPr>
          <w:r>
            <w:fldChar w:fldCharType="begin"/>
          </w:r>
          <w:r>
            <w:instrText xml:space="preserve"> HYPERLINK \l "_Toc4152" </w:instrText>
          </w:r>
          <w:r>
            <w:fldChar w:fldCharType="separate"/>
          </w:r>
          <w:r>
            <w:rPr>
              <w:rFonts w:hint="eastAsia" w:ascii="楷体" w:hAnsi="楷体" w:eastAsia="楷体" w:cs="楷体"/>
              <w:bCs/>
              <w:lang w:eastAsia="zh-CN"/>
            </w:rPr>
            <w:t>（五）赛场医药配备</w:t>
          </w:r>
          <w:r>
            <w:tab/>
          </w:r>
          <w:r>
            <w:fldChar w:fldCharType="begin"/>
          </w:r>
          <w:r>
            <w:instrText xml:space="preserve"> PAGEREF _Toc4152 \h </w:instrText>
          </w:r>
          <w:r>
            <w:fldChar w:fldCharType="separate"/>
          </w:r>
          <w:r>
            <w:t>21</w:t>
          </w:r>
          <w:r>
            <w:fldChar w:fldCharType="end"/>
          </w:r>
          <w:r>
            <w:fldChar w:fldCharType="end"/>
          </w:r>
        </w:p>
        <w:p>
          <w:pPr>
            <w:pStyle w:val="11"/>
            <w:tabs>
              <w:tab w:val="right" w:leader="dot" w:pos="8633"/>
            </w:tabs>
            <w:ind w:firstLine="600"/>
          </w:pPr>
          <w:r>
            <w:fldChar w:fldCharType="begin"/>
          </w:r>
          <w:r>
            <w:instrText xml:space="preserve"> HYPERLINK \l "_Toc3836" </w:instrText>
          </w:r>
          <w:r>
            <w:fldChar w:fldCharType="separate"/>
          </w:r>
          <w:r>
            <w:rPr>
              <w:rFonts w:hint="eastAsia" w:ascii="楷体" w:hAnsi="楷体" w:eastAsia="楷体" w:cs="楷体"/>
              <w:bCs/>
              <w:lang w:eastAsia="zh-CN"/>
            </w:rPr>
            <w:t>（六）环境保护</w:t>
          </w:r>
          <w:r>
            <w:tab/>
          </w:r>
          <w:r>
            <w:fldChar w:fldCharType="begin"/>
          </w:r>
          <w:r>
            <w:instrText xml:space="preserve"> PAGEREF _Toc3836 \h </w:instrText>
          </w:r>
          <w:r>
            <w:fldChar w:fldCharType="separate"/>
          </w:r>
          <w:r>
            <w:t>21</w:t>
          </w:r>
          <w:r>
            <w:fldChar w:fldCharType="end"/>
          </w:r>
          <w:r>
            <w:fldChar w:fldCharType="end"/>
          </w:r>
        </w:p>
        <w:p>
          <w:pPr>
            <w:rPr>
              <w:rFonts w:hint="eastAsia" w:ascii="楷体" w:hAnsi="楷体" w:eastAsia="楷体" w:cs="楷体"/>
              <w:sz w:val="24"/>
              <w:szCs w:val="24"/>
              <w:lang w:eastAsia="zh-CN"/>
            </w:rPr>
          </w:pPr>
          <w:r>
            <w:rPr>
              <w:rFonts w:ascii="仿宋" w:hAnsi="仿宋" w:eastAsia="仿宋" w:cs="仿宋"/>
              <w:szCs w:val="30"/>
              <w:lang w:eastAsia="zh-CN"/>
            </w:rPr>
            <w:fldChar w:fldCharType="end"/>
          </w:r>
          <w:r>
            <w:rPr>
              <w:rFonts w:hint="eastAsia" w:ascii="仿宋" w:hAnsi="仿宋" w:eastAsia="仿宋" w:cs="仿宋"/>
              <w:szCs w:val="30"/>
              <w:lang w:val="en-US" w:eastAsia="zh-CN"/>
            </w:rPr>
            <w:t xml:space="preserve"> </w:t>
          </w:r>
          <w:r>
            <w:rPr>
              <w:rFonts w:hint="eastAsia" w:ascii="楷体" w:hAnsi="楷体" w:eastAsia="楷体" w:cs="楷体"/>
              <w:sz w:val="24"/>
              <w:szCs w:val="24"/>
              <w:lang w:eastAsia="zh-CN"/>
            </w:rPr>
            <w:t>附件1.</w:t>
          </w:r>
          <w:r>
            <w:rPr>
              <w:rFonts w:hint="eastAsia" w:ascii="楷体" w:hAnsi="楷体" w:eastAsia="楷体" w:cs="楷体"/>
              <w:sz w:val="24"/>
              <w:szCs w:val="24"/>
              <w:lang w:val="en-US" w:eastAsia="zh-CN"/>
            </w:rPr>
            <w:t>许昌市第一届职业技能大赛汽车技术赛项</w:t>
          </w:r>
          <w:r>
            <w:rPr>
              <w:rFonts w:hint="eastAsia" w:ascii="楷体" w:hAnsi="楷体" w:eastAsia="楷体" w:cs="楷体"/>
              <w:sz w:val="24"/>
              <w:szCs w:val="24"/>
              <w:lang w:eastAsia="zh-CN"/>
            </w:rPr>
            <w:t>模块A任务书</w:t>
          </w:r>
        </w:p>
        <w:p>
          <w:pPr>
            <w:ind w:firstLine="720" w:firstLineChars="300"/>
            <w:rPr>
              <w:rFonts w:hint="eastAsia" w:ascii="楷体" w:hAnsi="楷体" w:eastAsia="楷体" w:cs="楷体"/>
              <w:sz w:val="24"/>
              <w:szCs w:val="24"/>
              <w:lang w:eastAsia="zh-CN"/>
            </w:rPr>
          </w:pPr>
          <w:r>
            <w:rPr>
              <w:rFonts w:hint="eastAsia" w:ascii="楷体" w:hAnsi="楷体" w:eastAsia="楷体" w:cs="楷体"/>
              <w:sz w:val="24"/>
              <w:szCs w:val="24"/>
              <w:lang w:eastAsia="zh-CN"/>
            </w:rPr>
            <w:t>附件2.</w:t>
          </w:r>
          <w:r>
            <w:rPr>
              <w:rFonts w:hint="eastAsia" w:ascii="楷体" w:hAnsi="楷体" w:eastAsia="楷体" w:cs="楷体"/>
              <w:sz w:val="24"/>
              <w:szCs w:val="24"/>
              <w:lang w:val="en-US" w:eastAsia="zh-CN"/>
            </w:rPr>
            <w:t>许昌市第一届职业技能大赛汽车技术赛项</w:t>
          </w:r>
          <w:r>
            <w:rPr>
              <w:rFonts w:hint="eastAsia" w:ascii="楷体" w:hAnsi="楷体" w:eastAsia="楷体" w:cs="楷体"/>
              <w:sz w:val="24"/>
              <w:szCs w:val="24"/>
              <w:lang w:eastAsia="zh-CN"/>
            </w:rPr>
            <w:t>模块B任务书</w:t>
          </w:r>
        </w:p>
        <w:p>
          <w:pPr>
            <w:ind w:firstLine="720" w:firstLineChars="300"/>
            <w:rPr>
              <w:rFonts w:hint="eastAsia" w:ascii="楷体" w:hAnsi="楷体" w:eastAsia="楷体" w:cs="楷体"/>
              <w:sz w:val="24"/>
              <w:szCs w:val="24"/>
              <w:lang w:val="en-US" w:eastAsia="zh-CN"/>
            </w:rPr>
          </w:pPr>
          <w:r>
            <w:rPr>
              <w:rFonts w:hint="eastAsia" w:ascii="楷体" w:hAnsi="楷体" w:eastAsia="楷体" w:cs="楷体"/>
              <w:sz w:val="24"/>
              <w:szCs w:val="24"/>
              <w:lang w:eastAsia="zh-CN"/>
            </w:rPr>
            <w:t>附件3.</w:t>
          </w:r>
          <w:r>
            <w:rPr>
              <w:rFonts w:hint="eastAsia" w:ascii="楷体" w:hAnsi="楷体" w:eastAsia="楷体" w:cs="楷体"/>
              <w:sz w:val="24"/>
              <w:szCs w:val="24"/>
              <w:lang w:val="en-US" w:eastAsia="zh-CN"/>
            </w:rPr>
            <w:t>许昌市第一届职业技能大赛汽车技术赛项</w:t>
          </w:r>
          <w:r>
            <w:rPr>
              <w:rFonts w:hint="eastAsia" w:ascii="楷体" w:hAnsi="楷体" w:eastAsia="楷体" w:cs="楷体"/>
              <w:sz w:val="24"/>
              <w:szCs w:val="24"/>
              <w:lang w:eastAsia="zh-CN"/>
            </w:rPr>
            <w:t>模块A评分表</w:t>
          </w:r>
          <w:r>
            <w:rPr>
              <w:rFonts w:hint="eastAsia" w:ascii="楷体" w:hAnsi="楷体" w:eastAsia="楷体" w:cs="楷体"/>
              <w:sz w:val="24"/>
              <w:szCs w:val="24"/>
              <w:lang w:val="en-US" w:eastAsia="zh-CN"/>
            </w:rPr>
            <w:t>格式</w:t>
          </w:r>
        </w:p>
        <w:p>
          <w:pPr>
            <w:ind w:firstLine="720" w:firstLineChars="300"/>
            <w:rPr>
              <w:rFonts w:hint="eastAsia" w:ascii="楷体" w:hAnsi="楷体" w:eastAsia="楷体" w:cs="楷体"/>
              <w:sz w:val="24"/>
              <w:szCs w:val="24"/>
              <w:lang w:val="en-US" w:eastAsia="zh-CN"/>
            </w:rPr>
          </w:pPr>
          <w:r>
            <w:rPr>
              <w:rFonts w:hint="eastAsia" w:ascii="楷体" w:hAnsi="楷体" w:eastAsia="楷体" w:cs="楷体"/>
              <w:sz w:val="24"/>
              <w:szCs w:val="24"/>
              <w:lang w:eastAsia="zh-CN"/>
            </w:rPr>
            <w:t>附件4.</w:t>
          </w:r>
          <w:r>
            <w:rPr>
              <w:rFonts w:hint="eastAsia" w:ascii="楷体" w:hAnsi="楷体" w:eastAsia="楷体" w:cs="楷体"/>
              <w:sz w:val="24"/>
              <w:szCs w:val="24"/>
              <w:lang w:val="en-US" w:eastAsia="zh-CN"/>
            </w:rPr>
            <w:t>许昌市第一届职业技能大赛汽车技术赛项</w:t>
          </w:r>
          <w:r>
            <w:rPr>
              <w:rFonts w:hint="eastAsia" w:ascii="楷体" w:hAnsi="楷体" w:eastAsia="楷体" w:cs="楷体"/>
              <w:sz w:val="24"/>
              <w:szCs w:val="24"/>
              <w:lang w:eastAsia="zh-CN"/>
            </w:rPr>
            <w:t>模块B评分表</w:t>
          </w:r>
          <w:r>
            <w:rPr>
              <w:rFonts w:hint="eastAsia" w:ascii="楷体" w:hAnsi="楷体" w:eastAsia="楷体" w:cs="楷体"/>
              <w:sz w:val="24"/>
              <w:szCs w:val="24"/>
              <w:lang w:val="en-US" w:eastAsia="zh-CN"/>
            </w:rPr>
            <w:t>样式</w:t>
          </w:r>
        </w:p>
        <w:p>
          <w:pPr>
            <w:spacing w:line="240" w:lineRule="auto"/>
            <w:rPr>
              <w:rFonts w:ascii="仿宋" w:hAnsi="仿宋" w:eastAsia="仿宋" w:cs="仿宋"/>
              <w:lang w:eastAsia="zh-CN"/>
            </w:rPr>
            <w:sectPr>
              <w:pgSz w:w="11910" w:h="16840"/>
              <w:pgMar w:top="1440" w:right="1678" w:bottom="1157" w:left="1599" w:header="720" w:footer="720" w:gutter="0"/>
              <w:cols w:space="720" w:num="1"/>
            </w:sectPr>
          </w:pPr>
        </w:p>
      </w:sdtContent>
    </w:sdt>
    <w:p>
      <w:pPr>
        <w:pStyle w:val="3"/>
        <w:spacing w:before="72"/>
        <w:ind w:firstLine="640"/>
        <w:rPr>
          <w:rFonts w:ascii="黑体" w:hAnsi="黑体" w:eastAsia="黑体" w:cs="黑体"/>
          <w:b w:val="0"/>
          <w:bCs w:val="0"/>
          <w:sz w:val="32"/>
          <w:lang w:eastAsia="zh-CN"/>
        </w:rPr>
      </w:pPr>
      <w:bookmarkStart w:id="0" w:name="一、技术描述"/>
      <w:bookmarkEnd w:id="0"/>
      <w:bookmarkStart w:id="1" w:name="_Toc19227"/>
      <w:r>
        <w:rPr>
          <w:rFonts w:hint="eastAsia" w:ascii="黑体" w:hAnsi="黑体" w:eastAsia="黑体" w:cs="黑体"/>
          <w:b w:val="0"/>
          <w:bCs w:val="0"/>
          <w:sz w:val="32"/>
          <w:lang w:eastAsia="zh-CN"/>
        </w:rPr>
        <w:t>一、技术描述</w:t>
      </w:r>
      <w:bookmarkEnd w:id="1"/>
    </w:p>
    <w:p>
      <w:pPr>
        <w:pStyle w:val="4"/>
        <w:ind w:firstLine="643"/>
        <w:rPr>
          <w:sz w:val="32"/>
          <w:lang w:eastAsia="zh-CN"/>
        </w:rPr>
      </w:pPr>
      <w:bookmarkStart w:id="2" w:name="（一）项目概要"/>
      <w:bookmarkEnd w:id="2"/>
      <w:bookmarkStart w:id="3" w:name="_Toc20853"/>
      <w:r>
        <w:rPr>
          <w:sz w:val="32"/>
          <w:lang w:eastAsia="zh-CN"/>
        </w:rPr>
        <w:t>（一）项目概要</w:t>
      </w:r>
      <w:bookmarkEnd w:id="3"/>
    </w:p>
    <w:p>
      <w:pPr>
        <w:pStyle w:val="5"/>
        <w:ind w:firstLine="640"/>
        <w:rPr>
          <w:rFonts w:ascii="仿宋" w:hAnsi="仿宋" w:eastAsia="仿宋" w:cs="仿宋"/>
          <w:b w:val="0"/>
          <w:bCs w:val="0"/>
          <w:color w:val="000000"/>
          <w:sz w:val="31"/>
          <w:szCs w:val="31"/>
        </w:rPr>
      </w:pPr>
      <w:r>
        <w:rPr>
          <w:rFonts w:ascii="仿宋" w:hAnsi="仿宋" w:eastAsia="仿宋" w:cs="仿宋"/>
          <w:b w:val="0"/>
          <w:bCs w:val="0"/>
          <w:color w:val="000000"/>
          <w:sz w:val="31"/>
          <w:szCs w:val="31"/>
        </w:rPr>
        <w:t xml:space="preserve">汽车技术项目是指通过查阅维修资料对故障车辆或部件进行 检测、诊断、维护、修理及更换零部件使车辆或部件恢复原厂技 术参数的竞赛项目，考核汽车维修企业汽车维修高级工及以上岗 位的职业能力。汽车维修技术人员一般会受雇于一家品牌汽车服 务4S店或综合维修厂，要求能快速准确地诊断故障并完成维修工 作。汽车技术项目选手应能掌握应用汽车机械、电气、电控以及 各系统集成的知识，以及对各种车型熟练操作的技能，并具有良 好的体能和心理素质。比赛中对选手的技能要求主要包括：对汽 车发动机、汽车电控系统、汽车线路进行检测、诊断分析、维护 和修理；正确查阅维修手册；正确选择、组装和使用工量具或设 备。 </w:t>
      </w:r>
    </w:p>
    <w:p>
      <w:pPr>
        <w:pStyle w:val="5"/>
        <w:ind w:firstLine="640"/>
        <w:rPr>
          <w:rFonts w:ascii="楷体" w:hAnsi="楷体" w:eastAsia="楷体" w:cs="楷体"/>
          <w:b/>
          <w:bCs/>
          <w:color w:val="000000"/>
          <w:sz w:val="31"/>
          <w:szCs w:val="31"/>
        </w:rPr>
      </w:pPr>
      <w:r>
        <w:rPr>
          <w:rFonts w:ascii="楷体" w:hAnsi="楷体" w:eastAsia="楷体" w:cs="楷体"/>
          <w:b/>
          <w:bCs/>
          <w:color w:val="000000"/>
          <w:sz w:val="31"/>
          <w:szCs w:val="31"/>
        </w:rPr>
        <w:t xml:space="preserve">（二）基本知识与能力要求 </w:t>
      </w:r>
    </w:p>
    <w:p>
      <w:pPr>
        <w:pStyle w:val="5"/>
        <w:ind w:firstLine="640"/>
        <w:rPr>
          <w:rFonts w:hint="eastAsia" w:ascii="仿宋" w:hAnsi="仿宋" w:eastAsia="仿宋" w:cs="仿宋"/>
          <w:b w:val="0"/>
          <w:bCs w:val="0"/>
          <w:color w:val="000000"/>
          <w:sz w:val="31"/>
          <w:szCs w:val="31"/>
        </w:rPr>
      </w:pPr>
      <w:r>
        <w:rPr>
          <w:rFonts w:hint="eastAsia" w:ascii="仿宋" w:hAnsi="仿宋" w:eastAsia="仿宋" w:cs="仿宋"/>
          <w:b w:val="0"/>
          <w:bCs w:val="0"/>
          <w:color w:val="000000"/>
          <w:sz w:val="31"/>
          <w:szCs w:val="31"/>
        </w:rPr>
        <w:t xml:space="preserve">汽车技术赛项以汽车维修工国家职业技能标准（高级工以上） 为依据。汽车维修技术人员应该具备良好的职业技能和职业素养， 熟练掌握和应用汽车构造和工作原理、电气电控系统以及各系统 集成的知识，具备多种车型机械部件维护和检修、电气电控系统 维护和检修、综合故障诊断与排除等专业能力，并具备工作组织 和管理、沟通和交流、解决问题的能力。 </w:t>
      </w:r>
    </w:p>
    <w:p>
      <w:pPr>
        <w:pStyle w:val="5"/>
        <w:ind w:left="0" w:leftChars="0" w:firstLine="640" w:firstLineChars="200"/>
        <w:rPr>
          <w:sz w:val="32"/>
          <w:lang w:eastAsia="zh-CN"/>
        </w:rPr>
      </w:pPr>
      <w:r>
        <w:rPr>
          <w:sz w:val="32"/>
          <w:lang w:eastAsia="zh-CN"/>
        </w:rPr>
        <w:t>在技能大赛中，有关该项技能的知识和理解将通过</w:t>
      </w:r>
      <w:r>
        <w:rPr>
          <w:rFonts w:hint="eastAsia"/>
          <w:sz w:val="32"/>
          <w:lang w:val="en-US" w:eastAsia="zh-CN"/>
        </w:rPr>
        <w:t>理论考试和</w:t>
      </w:r>
      <w:r>
        <w:rPr>
          <w:sz w:val="32"/>
          <w:lang w:eastAsia="zh-CN"/>
        </w:rPr>
        <w:t>技能</w:t>
      </w:r>
      <w:r>
        <w:rPr>
          <w:rFonts w:hint="eastAsia"/>
          <w:sz w:val="32"/>
          <w:lang w:val="en-US" w:eastAsia="zh-CN"/>
        </w:rPr>
        <w:t>操作两部分</w:t>
      </w:r>
      <w:r>
        <w:rPr>
          <w:sz w:val="32"/>
          <w:lang w:eastAsia="zh-CN"/>
        </w:rPr>
        <w:t>予以考核。汽车</w:t>
      </w:r>
      <w:r>
        <w:rPr>
          <w:rFonts w:hint="eastAsia"/>
          <w:sz w:val="32"/>
          <w:lang w:val="en-US" w:eastAsia="zh-CN"/>
        </w:rPr>
        <w:t>技术</w:t>
      </w:r>
      <w:r>
        <w:rPr>
          <w:sz w:val="32"/>
          <w:lang w:eastAsia="zh-CN"/>
        </w:rPr>
        <w:t>项目选手理论知识、工作能力的要求以及各项要求的权重比例见</w:t>
      </w:r>
      <w:r>
        <w:rPr>
          <w:rFonts w:hint="eastAsia"/>
          <w:sz w:val="32"/>
          <w:lang w:eastAsia="zh-CN"/>
        </w:rPr>
        <w:t>下</w:t>
      </w:r>
      <w:r>
        <w:rPr>
          <w:sz w:val="32"/>
          <w:lang w:eastAsia="zh-CN"/>
        </w:rPr>
        <w:t>表。</w:t>
      </w:r>
    </w:p>
    <w:tbl>
      <w:tblPr>
        <w:tblStyle w:val="17"/>
        <w:tblpPr w:leftFromText="181" w:rightFromText="181" w:bottomFromText="283" w:vertAnchor="text" w:tblpY="1"/>
        <w:tblOverlap w:val="never"/>
        <w:tblW w:w="5004" w:type="pct"/>
        <w:tblInd w:w="0" w:type="dxa"/>
        <w:tblLayout w:type="autofit"/>
        <w:tblCellMar>
          <w:top w:w="0" w:type="dxa"/>
          <w:left w:w="0" w:type="dxa"/>
          <w:bottom w:w="0" w:type="dxa"/>
          <w:right w:w="0" w:type="dxa"/>
        </w:tblCellMar>
      </w:tblPr>
      <w:tblGrid>
        <w:gridCol w:w="1226"/>
        <w:gridCol w:w="6152"/>
        <w:gridCol w:w="1715"/>
      </w:tblGrid>
      <w:tr>
        <w:tblPrEx>
          <w:tblCellMar>
            <w:top w:w="0" w:type="dxa"/>
            <w:left w:w="0" w:type="dxa"/>
            <w:bottom w:w="0" w:type="dxa"/>
            <w:right w:w="0" w:type="dxa"/>
          </w:tblCellMar>
        </w:tblPrEx>
        <w:trPr>
          <w:trHeight w:val="567" w:hRule="atLeast"/>
        </w:trPr>
        <w:tc>
          <w:tcPr>
            <w:tcW w:w="405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19"/>
              <w:ind w:left="1" w:firstLine="482"/>
              <w:jc w:val="center"/>
              <w:rPr>
                <w:rFonts w:ascii="宋体" w:hAnsi="宋体" w:eastAsia="宋体" w:cs="宋体"/>
                <w:b/>
                <w:bCs/>
                <w:sz w:val="24"/>
                <w:szCs w:val="24"/>
              </w:rPr>
            </w:pPr>
            <w:r>
              <w:rPr>
                <w:rFonts w:hint="eastAsia" w:ascii="宋体" w:hAnsi="宋体" w:eastAsia="宋体" w:cs="宋体"/>
                <w:b/>
                <w:bCs/>
                <w:spacing w:val="2"/>
                <w:w w:val="99"/>
                <w:sz w:val="24"/>
                <w:szCs w:val="24"/>
              </w:rPr>
              <w:t>相</w:t>
            </w:r>
            <w:r>
              <w:rPr>
                <w:rFonts w:hint="eastAsia" w:ascii="宋体" w:hAnsi="宋体" w:eastAsia="宋体" w:cs="宋体"/>
                <w:b/>
                <w:bCs/>
                <w:w w:val="99"/>
                <w:sz w:val="24"/>
                <w:szCs w:val="24"/>
              </w:rPr>
              <w:t>关</w:t>
            </w:r>
            <w:r>
              <w:rPr>
                <w:rFonts w:hint="eastAsia" w:ascii="宋体" w:hAnsi="宋体" w:eastAsia="宋体" w:cs="宋体"/>
                <w:b/>
                <w:bCs/>
                <w:spacing w:val="2"/>
                <w:w w:val="99"/>
                <w:sz w:val="24"/>
                <w:szCs w:val="24"/>
              </w:rPr>
              <w:t>要</w:t>
            </w:r>
            <w:r>
              <w:rPr>
                <w:rFonts w:hint="eastAsia" w:ascii="宋体" w:hAnsi="宋体" w:eastAsia="宋体" w:cs="宋体"/>
                <w:b/>
                <w:bCs/>
                <w:w w:val="99"/>
                <w:sz w:val="24"/>
                <w:szCs w:val="24"/>
              </w:rPr>
              <w:t>求</w:t>
            </w:r>
          </w:p>
        </w:tc>
        <w:tc>
          <w:tcPr>
            <w:tcW w:w="943"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19"/>
              <w:spacing w:before="41"/>
              <w:ind w:firstLine="0" w:firstLineChars="0"/>
              <w:jc w:val="center"/>
              <w:rPr>
                <w:rFonts w:ascii="宋体" w:hAnsi="宋体" w:eastAsia="宋体" w:cs="宋体"/>
                <w:b/>
                <w:bCs/>
                <w:sz w:val="24"/>
                <w:szCs w:val="24"/>
              </w:rPr>
            </w:pPr>
            <w:r>
              <w:rPr>
                <w:rFonts w:hint="eastAsia" w:ascii="宋体" w:hAnsi="宋体" w:eastAsia="宋体" w:cs="宋体"/>
                <w:b/>
                <w:bCs/>
                <w:spacing w:val="2"/>
                <w:w w:val="99"/>
                <w:sz w:val="24"/>
                <w:szCs w:val="24"/>
              </w:rPr>
              <w:t>权</w:t>
            </w:r>
            <w:r>
              <w:rPr>
                <w:rFonts w:hint="eastAsia" w:ascii="宋体" w:hAnsi="宋体" w:eastAsia="宋体" w:cs="宋体"/>
                <w:b/>
                <w:bCs/>
                <w:w w:val="99"/>
                <w:sz w:val="24"/>
                <w:szCs w:val="24"/>
              </w:rPr>
              <w:t>重</w:t>
            </w:r>
            <w:r>
              <w:rPr>
                <w:rFonts w:hint="eastAsia" w:ascii="宋体" w:hAnsi="宋体" w:eastAsia="宋体" w:cs="宋体"/>
                <w:b/>
                <w:bCs/>
                <w:spacing w:val="2"/>
                <w:w w:val="99"/>
                <w:sz w:val="24"/>
                <w:szCs w:val="24"/>
              </w:rPr>
              <w:t>比</w:t>
            </w:r>
            <w:r>
              <w:rPr>
                <w:rFonts w:hint="eastAsia" w:ascii="宋体" w:hAnsi="宋体" w:eastAsia="宋体" w:cs="宋体"/>
                <w:b/>
                <w:bCs/>
                <w:w w:val="99"/>
                <w:sz w:val="24"/>
                <w:szCs w:val="24"/>
              </w:rPr>
              <w:t>例</w:t>
            </w:r>
            <w:r>
              <w:rPr>
                <w:rFonts w:hint="eastAsia" w:ascii="宋体" w:hAnsi="宋体" w:eastAsia="宋体" w:cs="宋体"/>
                <w:b/>
                <w:bCs/>
                <w:spacing w:val="2"/>
                <w:w w:val="99"/>
                <w:sz w:val="24"/>
                <w:szCs w:val="24"/>
              </w:rPr>
              <w:t>（</w:t>
            </w:r>
            <w:r>
              <w:rPr>
                <w:rFonts w:hint="eastAsia" w:ascii="宋体" w:hAnsi="宋体" w:eastAsia="宋体" w:cs="宋体"/>
                <w:b/>
                <w:bCs/>
                <w:sz w:val="24"/>
                <w:szCs w:val="24"/>
              </w:rPr>
              <w:t>%</w:t>
            </w:r>
            <w:r>
              <w:rPr>
                <w:rFonts w:hint="eastAsia" w:ascii="宋体" w:hAnsi="宋体" w:eastAsia="宋体" w:cs="宋体"/>
                <w:b/>
                <w:bCs/>
                <w:w w:val="99"/>
                <w:sz w:val="24"/>
                <w:szCs w:val="24"/>
              </w:rPr>
              <w:t>）</w:t>
            </w:r>
          </w:p>
        </w:tc>
      </w:tr>
      <w:tr>
        <w:tblPrEx>
          <w:tblCellMar>
            <w:top w:w="0" w:type="dxa"/>
            <w:left w:w="0" w:type="dxa"/>
            <w:bottom w:w="0" w:type="dxa"/>
            <w:right w:w="0" w:type="dxa"/>
          </w:tblCellMar>
        </w:tblPrEx>
        <w:trPr>
          <w:trHeight w:val="567" w:hRule="atLeast"/>
        </w:trPr>
        <w:tc>
          <w:tcPr>
            <w:tcW w:w="674" w:type="pct"/>
            <w:tcBorders>
              <w:top w:val="single" w:color="000000" w:sz="4" w:space="0"/>
              <w:left w:val="single" w:color="000000" w:sz="4" w:space="0"/>
              <w:bottom w:val="single" w:color="auto" w:sz="4" w:space="0"/>
              <w:right w:val="single" w:color="000000" w:sz="4" w:space="0"/>
            </w:tcBorders>
            <w:shd w:val="clear" w:color="auto" w:fill="auto"/>
            <w:vAlign w:val="center"/>
          </w:tcPr>
          <w:p>
            <w:pPr>
              <w:pStyle w:val="19"/>
              <w:spacing w:before="95"/>
              <w:ind w:firstLine="0" w:firstLineChars="0"/>
              <w:jc w:val="center"/>
              <w:rPr>
                <w:rFonts w:ascii="宋体" w:hAnsi="宋体" w:eastAsia="宋体" w:cs="宋体"/>
                <w:sz w:val="24"/>
                <w:szCs w:val="24"/>
              </w:rPr>
            </w:pPr>
            <w:r>
              <w:rPr>
                <w:rFonts w:hint="eastAsia" w:ascii="宋体" w:hAnsi="宋体" w:eastAsia="宋体" w:cs="宋体"/>
                <w:b/>
                <w:sz w:val="24"/>
                <w:szCs w:val="24"/>
              </w:rPr>
              <w:t>1</w:t>
            </w:r>
          </w:p>
        </w:tc>
        <w:tc>
          <w:tcPr>
            <w:tcW w:w="3381" w:type="pct"/>
            <w:tcBorders>
              <w:top w:val="single" w:color="000000" w:sz="4" w:space="0"/>
              <w:left w:val="single" w:color="000000" w:sz="4" w:space="0"/>
              <w:bottom w:val="single" w:color="auto" w:sz="4" w:space="0"/>
              <w:right w:val="single" w:color="000000" w:sz="4" w:space="0"/>
            </w:tcBorders>
            <w:shd w:val="clear" w:color="auto" w:fill="auto"/>
            <w:vAlign w:val="center"/>
          </w:tcPr>
          <w:p>
            <w:pPr>
              <w:pStyle w:val="19"/>
              <w:spacing w:before="41"/>
              <w:ind w:firstLine="482"/>
              <w:rPr>
                <w:rFonts w:ascii="宋体" w:hAnsi="宋体" w:eastAsia="宋体" w:cs="宋体"/>
                <w:sz w:val="24"/>
                <w:szCs w:val="24"/>
              </w:rPr>
            </w:pPr>
            <w:r>
              <w:rPr>
                <w:rFonts w:hint="eastAsia" w:ascii="宋体" w:hAnsi="宋体" w:eastAsia="宋体" w:cs="宋体"/>
                <w:b/>
                <w:bCs/>
                <w:spacing w:val="2"/>
                <w:w w:val="99"/>
                <w:sz w:val="24"/>
                <w:szCs w:val="24"/>
              </w:rPr>
              <w:t>工</w:t>
            </w:r>
            <w:r>
              <w:rPr>
                <w:rFonts w:hint="eastAsia" w:ascii="宋体" w:hAnsi="宋体" w:eastAsia="宋体" w:cs="宋体"/>
                <w:b/>
                <w:bCs/>
                <w:w w:val="99"/>
                <w:sz w:val="24"/>
                <w:szCs w:val="24"/>
              </w:rPr>
              <w:t>作</w:t>
            </w:r>
            <w:r>
              <w:rPr>
                <w:rFonts w:hint="eastAsia" w:ascii="宋体" w:hAnsi="宋体" w:eastAsia="宋体" w:cs="宋体"/>
                <w:b/>
                <w:bCs/>
                <w:spacing w:val="2"/>
                <w:w w:val="99"/>
                <w:sz w:val="24"/>
                <w:szCs w:val="24"/>
              </w:rPr>
              <w:t>组</w:t>
            </w:r>
            <w:r>
              <w:rPr>
                <w:rFonts w:hint="eastAsia" w:ascii="宋体" w:hAnsi="宋体" w:eastAsia="宋体" w:cs="宋体"/>
                <w:b/>
                <w:bCs/>
                <w:w w:val="99"/>
                <w:sz w:val="24"/>
                <w:szCs w:val="24"/>
              </w:rPr>
              <w:t>织和</w:t>
            </w:r>
            <w:r>
              <w:rPr>
                <w:rFonts w:hint="eastAsia" w:ascii="宋体" w:hAnsi="宋体" w:eastAsia="宋体" w:cs="宋体"/>
                <w:b/>
                <w:bCs/>
                <w:spacing w:val="2"/>
                <w:w w:val="99"/>
                <w:sz w:val="24"/>
                <w:szCs w:val="24"/>
              </w:rPr>
              <w:t>管</w:t>
            </w:r>
            <w:r>
              <w:rPr>
                <w:rFonts w:hint="eastAsia" w:ascii="宋体" w:hAnsi="宋体" w:eastAsia="宋体" w:cs="宋体"/>
                <w:b/>
                <w:bCs/>
                <w:w w:val="99"/>
                <w:sz w:val="24"/>
                <w:szCs w:val="24"/>
              </w:rPr>
              <w:t>理</w:t>
            </w:r>
          </w:p>
        </w:tc>
        <w:tc>
          <w:tcPr>
            <w:tcW w:w="943" w:type="pct"/>
            <w:vMerge w:val="restart"/>
            <w:tcBorders>
              <w:top w:val="single" w:color="000000" w:sz="4" w:space="0"/>
              <w:left w:val="single" w:color="000000" w:sz="4" w:space="0"/>
              <w:right w:val="single" w:color="auto" w:sz="4" w:space="0"/>
            </w:tcBorders>
            <w:vAlign w:val="center"/>
          </w:tcPr>
          <w:p>
            <w:pPr>
              <w:pStyle w:val="19"/>
              <w:ind w:firstLine="0" w:firstLineChars="0"/>
              <w:jc w:val="center"/>
              <w:rPr>
                <w:rFonts w:ascii="宋体" w:hAnsi="宋体" w:eastAsia="宋体" w:cs="宋体"/>
                <w:sz w:val="24"/>
                <w:szCs w:val="24"/>
              </w:rPr>
            </w:pPr>
            <w:r>
              <w:rPr>
                <w:rFonts w:hint="eastAsia" w:ascii="宋体" w:hAnsi="宋体" w:eastAsia="宋体" w:cs="宋体"/>
                <w:b w:val="0"/>
                <w:bCs/>
                <w:sz w:val="24"/>
                <w:szCs w:val="24"/>
              </w:rPr>
              <w:t>10</w:t>
            </w:r>
          </w:p>
        </w:tc>
      </w:tr>
      <w:tr>
        <w:tblPrEx>
          <w:tblCellMar>
            <w:top w:w="0" w:type="dxa"/>
            <w:left w:w="0" w:type="dxa"/>
            <w:bottom w:w="0" w:type="dxa"/>
            <w:right w:w="0" w:type="dxa"/>
          </w:tblCellMar>
        </w:tblPrEx>
        <w:trPr>
          <w:trHeight w:val="567" w:hRule="atLeast"/>
        </w:trPr>
        <w:tc>
          <w:tcPr>
            <w:tcW w:w="674"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ascii="宋体" w:hAnsi="宋体" w:eastAsia="宋体" w:cs="宋体"/>
                <w:sz w:val="24"/>
                <w:szCs w:val="24"/>
              </w:rPr>
            </w:pPr>
            <w:r>
              <w:rPr>
                <w:rFonts w:hint="eastAsia" w:ascii="宋体" w:hAnsi="宋体" w:eastAsia="宋体" w:cs="宋体"/>
                <w:sz w:val="24"/>
                <w:szCs w:val="24"/>
              </w:rPr>
              <w:t>基本知识</w:t>
            </w:r>
          </w:p>
        </w:tc>
        <w:tc>
          <w:tcPr>
            <w:tcW w:w="3381" w:type="pct"/>
            <w:tcBorders>
              <w:top w:val="single" w:color="auto" w:sz="4" w:space="0"/>
              <w:left w:val="single" w:color="auto" w:sz="4" w:space="0"/>
              <w:bottom w:val="single" w:color="auto" w:sz="4" w:space="0"/>
              <w:right w:val="single" w:color="auto" w:sz="4" w:space="0"/>
            </w:tcBorders>
          </w:tcPr>
          <w:p>
            <w:pPr>
              <w:pStyle w:val="19"/>
              <w:tabs>
                <w:tab w:val="left" w:pos="460"/>
              </w:tabs>
              <w:spacing w:before="125"/>
              <w:ind w:left="103" w:firstLine="480"/>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工作环境整洁</w:t>
            </w:r>
          </w:p>
        </w:tc>
        <w:tc>
          <w:tcPr>
            <w:tcW w:w="943" w:type="pct"/>
            <w:vMerge w:val="continue"/>
            <w:tcBorders>
              <w:left w:val="single" w:color="000000" w:sz="4" w:space="0"/>
              <w:right w:val="single" w:color="auto" w:sz="4" w:space="0"/>
            </w:tcBorders>
          </w:tcPr>
          <w:p>
            <w:pPr>
              <w:ind w:firstLine="480"/>
              <w:rPr>
                <w:rFonts w:ascii="宋体" w:hAnsi="宋体" w:eastAsia="宋体" w:cs="宋体"/>
                <w:sz w:val="24"/>
                <w:szCs w:val="24"/>
                <w:lang w:eastAsia="zh-CN"/>
              </w:rPr>
            </w:pPr>
          </w:p>
        </w:tc>
      </w:tr>
      <w:tr>
        <w:tblPrEx>
          <w:tblCellMar>
            <w:top w:w="0" w:type="dxa"/>
            <w:left w:w="0" w:type="dxa"/>
            <w:bottom w:w="0" w:type="dxa"/>
            <w:right w:w="0" w:type="dxa"/>
          </w:tblCellMar>
        </w:tblPrEx>
        <w:trPr>
          <w:trHeight w:val="567" w:hRule="atLeast"/>
        </w:trPr>
        <w:tc>
          <w:tcPr>
            <w:tcW w:w="674" w:type="pct"/>
            <w:tcBorders>
              <w:top w:val="single" w:color="auto" w:sz="4" w:space="0"/>
              <w:left w:val="single" w:color="000000" w:sz="4" w:space="0"/>
              <w:bottom w:val="single" w:color="000000" w:sz="4" w:space="0"/>
              <w:right w:val="single" w:color="000000" w:sz="4" w:space="0"/>
            </w:tcBorders>
            <w:vAlign w:val="center"/>
          </w:tcPr>
          <w:p>
            <w:pPr>
              <w:pStyle w:val="19"/>
              <w:ind w:firstLine="0" w:firstLineChars="0"/>
              <w:jc w:val="center"/>
              <w:rPr>
                <w:rFonts w:ascii="宋体" w:hAnsi="宋体" w:eastAsia="宋体" w:cs="宋体"/>
                <w:sz w:val="24"/>
                <w:szCs w:val="24"/>
              </w:rPr>
            </w:pPr>
            <w:r>
              <w:rPr>
                <w:rFonts w:hint="eastAsia" w:ascii="宋体" w:hAnsi="宋体" w:eastAsia="宋体" w:cs="宋体"/>
                <w:sz w:val="24"/>
                <w:szCs w:val="24"/>
              </w:rPr>
              <w:t>工作能力</w:t>
            </w:r>
          </w:p>
        </w:tc>
        <w:tc>
          <w:tcPr>
            <w:tcW w:w="3381" w:type="pct"/>
            <w:tcBorders>
              <w:top w:val="single" w:color="auto" w:sz="4" w:space="0"/>
              <w:left w:val="single" w:color="000000" w:sz="4" w:space="0"/>
              <w:bottom w:val="single" w:color="auto" w:sz="4" w:space="0"/>
              <w:right w:val="single" w:color="000000" w:sz="4" w:space="0"/>
            </w:tcBorders>
          </w:tcPr>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72"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准备并保持工作台安全、整洁和高效</w:t>
            </w:r>
          </w:p>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127"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准备好个人健康和安全相关的工作</w:t>
            </w:r>
          </w:p>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125"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计划、准备并按时完成各项任务</w:t>
            </w:r>
          </w:p>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125"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计划好工作，高效实施</w:t>
            </w:r>
          </w:p>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127"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遵循厂家要求选择使用设备和材料</w:t>
            </w:r>
          </w:p>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127"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遵循厂家要求清洁、储存和检查设备和材料</w:t>
            </w:r>
          </w:p>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125"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遵循有关环保、设备和材料的健康和安全标准</w:t>
            </w:r>
          </w:p>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125"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将工作场地和车辆恢复到良好的状态和条件</w:t>
            </w:r>
          </w:p>
        </w:tc>
        <w:tc>
          <w:tcPr>
            <w:tcW w:w="943" w:type="pct"/>
            <w:vMerge w:val="continue"/>
            <w:tcBorders>
              <w:left w:val="single" w:color="000000" w:sz="4" w:space="0"/>
              <w:bottom w:val="single" w:color="auto" w:sz="4" w:space="0"/>
              <w:right w:val="single" w:color="auto" w:sz="4" w:space="0"/>
            </w:tcBorders>
          </w:tcPr>
          <w:p>
            <w:pPr>
              <w:ind w:firstLine="480"/>
              <w:rPr>
                <w:rFonts w:ascii="宋体" w:hAnsi="宋体" w:eastAsia="宋体" w:cs="宋体"/>
                <w:sz w:val="24"/>
                <w:szCs w:val="24"/>
                <w:lang w:eastAsia="zh-CN"/>
              </w:rPr>
            </w:pPr>
          </w:p>
        </w:tc>
      </w:tr>
      <w:tr>
        <w:tblPrEx>
          <w:tblCellMar>
            <w:top w:w="0" w:type="dxa"/>
            <w:left w:w="0" w:type="dxa"/>
            <w:bottom w:w="0" w:type="dxa"/>
            <w:right w:w="0" w:type="dxa"/>
          </w:tblCellMar>
        </w:tblPrEx>
        <w:trPr>
          <w:trHeight w:val="567" w:hRule="atLeast"/>
        </w:trPr>
        <w:tc>
          <w:tcPr>
            <w:tcW w:w="674" w:type="pct"/>
            <w:tcBorders>
              <w:top w:val="single" w:color="000000" w:sz="4" w:space="0"/>
              <w:left w:val="single" w:color="000000" w:sz="4" w:space="0"/>
              <w:bottom w:val="single" w:color="000000" w:sz="4" w:space="0"/>
              <w:right w:val="single" w:color="auto" w:sz="4" w:space="0"/>
            </w:tcBorders>
            <w:shd w:val="clear" w:color="auto" w:fill="auto"/>
            <w:vAlign w:val="center"/>
          </w:tcPr>
          <w:p>
            <w:pPr>
              <w:pStyle w:val="19"/>
              <w:ind w:firstLine="0" w:firstLineChars="0"/>
              <w:jc w:val="center"/>
              <w:rPr>
                <w:rFonts w:ascii="宋体" w:hAnsi="宋体" w:eastAsia="宋体" w:cs="宋体"/>
                <w:sz w:val="24"/>
                <w:szCs w:val="24"/>
              </w:rPr>
            </w:pPr>
            <w:r>
              <w:rPr>
                <w:rFonts w:hint="eastAsia" w:ascii="宋体" w:hAnsi="宋体" w:eastAsia="宋体" w:cs="宋体"/>
                <w:b/>
                <w:sz w:val="24"/>
                <w:szCs w:val="24"/>
              </w:rPr>
              <w:t>2</w:t>
            </w:r>
          </w:p>
        </w:tc>
        <w:tc>
          <w:tcPr>
            <w:tcW w:w="3381" w:type="pct"/>
            <w:tcBorders>
              <w:top w:val="single" w:color="auto" w:sz="4" w:space="0"/>
              <w:left w:val="single" w:color="auto" w:sz="4" w:space="0"/>
              <w:bottom w:val="single" w:color="auto" w:sz="4" w:space="0"/>
              <w:right w:val="single" w:color="auto" w:sz="4" w:space="0"/>
            </w:tcBorders>
            <w:shd w:val="clear" w:color="auto" w:fill="auto"/>
          </w:tcPr>
          <w:p>
            <w:pPr>
              <w:pStyle w:val="19"/>
              <w:tabs>
                <w:tab w:val="left" w:pos="460"/>
              </w:tabs>
              <w:spacing w:before="127"/>
              <w:ind w:left="103" w:firstLine="482"/>
              <w:rPr>
                <w:rFonts w:ascii="宋体" w:hAnsi="宋体" w:eastAsia="宋体" w:cs="宋体"/>
                <w:sz w:val="24"/>
                <w:szCs w:val="24"/>
                <w:lang w:eastAsia="zh-CN"/>
              </w:rPr>
            </w:pPr>
            <w:r>
              <w:rPr>
                <w:rFonts w:hint="eastAsia" w:ascii="宋体" w:hAnsi="宋体" w:eastAsia="宋体" w:cs="宋体"/>
                <w:b/>
                <w:bCs/>
                <w:sz w:val="24"/>
                <w:szCs w:val="24"/>
              </w:rPr>
              <w:t>沟通和交流</w:t>
            </w:r>
          </w:p>
        </w:tc>
        <w:tc>
          <w:tcPr>
            <w:tcW w:w="943" w:type="pct"/>
            <w:vMerge w:val="restart"/>
            <w:tcBorders>
              <w:top w:val="single" w:color="auto" w:sz="4" w:space="0"/>
              <w:left w:val="single" w:color="auto" w:sz="4" w:space="0"/>
              <w:right w:val="single" w:color="auto" w:sz="4" w:space="0"/>
            </w:tcBorders>
            <w:vAlign w:val="center"/>
          </w:tcPr>
          <w:p>
            <w:pPr>
              <w:ind w:firstLine="0" w:firstLineChars="0"/>
              <w:jc w:val="center"/>
              <w:rPr>
                <w:rFonts w:ascii="宋体" w:hAnsi="宋体" w:eastAsia="宋体" w:cs="宋体"/>
                <w:sz w:val="24"/>
                <w:szCs w:val="24"/>
                <w:lang w:eastAsia="zh-CN"/>
              </w:rPr>
            </w:pPr>
            <w:r>
              <w:rPr>
                <w:rFonts w:hint="eastAsia" w:ascii="宋体" w:hAnsi="宋体" w:eastAsia="宋体" w:cs="宋体"/>
                <w:b w:val="0"/>
                <w:bCs/>
                <w:sz w:val="24"/>
                <w:szCs w:val="24"/>
              </w:rPr>
              <w:t>15</w:t>
            </w:r>
          </w:p>
        </w:tc>
      </w:tr>
      <w:tr>
        <w:tblPrEx>
          <w:tblCellMar>
            <w:top w:w="0" w:type="dxa"/>
            <w:left w:w="0" w:type="dxa"/>
            <w:bottom w:w="0" w:type="dxa"/>
            <w:right w:w="0" w:type="dxa"/>
          </w:tblCellMar>
        </w:tblPrEx>
        <w:trPr>
          <w:trHeight w:val="567" w:hRule="atLeast"/>
        </w:trPr>
        <w:tc>
          <w:tcPr>
            <w:tcW w:w="674" w:type="pct"/>
            <w:tcBorders>
              <w:top w:val="single" w:color="000000" w:sz="4" w:space="0"/>
              <w:left w:val="single" w:color="000000" w:sz="4" w:space="0"/>
              <w:bottom w:val="single" w:color="auto" w:sz="4" w:space="0"/>
              <w:right w:val="single" w:color="auto" w:sz="4" w:space="0"/>
            </w:tcBorders>
            <w:vAlign w:val="center"/>
          </w:tcPr>
          <w:p>
            <w:pPr>
              <w:pStyle w:val="19"/>
              <w:ind w:firstLine="0" w:firstLineChars="0"/>
              <w:jc w:val="center"/>
              <w:rPr>
                <w:rFonts w:ascii="宋体" w:hAnsi="宋体" w:eastAsia="宋体" w:cs="宋体"/>
                <w:sz w:val="24"/>
                <w:szCs w:val="24"/>
              </w:rPr>
            </w:pPr>
            <w:r>
              <w:rPr>
                <w:rFonts w:hint="eastAsia" w:ascii="宋体" w:hAnsi="宋体" w:eastAsia="宋体" w:cs="宋体"/>
                <w:sz w:val="24"/>
                <w:szCs w:val="24"/>
              </w:rPr>
              <w:t>基本知识</w:t>
            </w:r>
          </w:p>
        </w:tc>
        <w:tc>
          <w:tcPr>
            <w:tcW w:w="3381" w:type="pct"/>
            <w:tcBorders>
              <w:top w:val="single" w:color="auto" w:sz="4" w:space="0"/>
              <w:left w:val="single" w:color="auto" w:sz="4" w:space="0"/>
              <w:bottom w:val="single" w:color="auto" w:sz="4" w:space="0"/>
              <w:right w:val="single" w:color="auto" w:sz="4" w:space="0"/>
            </w:tcBorders>
          </w:tcPr>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72"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相关的纸质或电子形式技术文件及其内容</w:t>
            </w:r>
          </w:p>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127"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与技能有关的专业术语</w:t>
            </w:r>
          </w:p>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125"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以口头、书写或电子形式汇报交流的规范</w:t>
            </w:r>
          </w:p>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125"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测量仪器输出结果和含义</w:t>
            </w:r>
          </w:p>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127"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客户服务和沟通的规范</w:t>
            </w:r>
          </w:p>
        </w:tc>
        <w:tc>
          <w:tcPr>
            <w:tcW w:w="943" w:type="pct"/>
            <w:vMerge w:val="continue"/>
            <w:tcBorders>
              <w:left w:val="single" w:color="auto" w:sz="4" w:space="0"/>
              <w:right w:val="single" w:color="auto" w:sz="4" w:space="0"/>
            </w:tcBorders>
          </w:tcPr>
          <w:p>
            <w:pPr>
              <w:ind w:firstLine="480"/>
              <w:rPr>
                <w:rFonts w:ascii="宋体" w:hAnsi="宋体" w:eastAsia="宋体" w:cs="宋体"/>
                <w:sz w:val="24"/>
                <w:szCs w:val="24"/>
                <w:lang w:eastAsia="zh-CN"/>
              </w:rPr>
            </w:pPr>
          </w:p>
        </w:tc>
      </w:tr>
      <w:tr>
        <w:tblPrEx>
          <w:tblCellMar>
            <w:top w:w="0" w:type="dxa"/>
            <w:left w:w="0" w:type="dxa"/>
            <w:bottom w:w="0" w:type="dxa"/>
            <w:right w:w="0" w:type="dxa"/>
          </w:tblCellMar>
        </w:tblPrEx>
        <w:trPr>
          <w:trHeight w:val="567" w:hRule="atLeast"/>
        </w:trPr>
        <w:tc>
          <w:tcPr>
            <w:tcW w:w="674"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ascii="宋体" w:hAnsi="宋体" w:eastAsia="宋体" w:cs="宋体"/>
                <w:sz w:val="24"/>
                <w:szCs w:val="24"/>
              </w:rPr>
            </w:pPr>
            <w:r>
              <w:rPr>
                <w:rFonts w:hint="eastAsia" w:ascii="宋体" w:hAnsi="宋体" w:eastAsia="宋体" w:cs="宋体"/>
                <w:sz w:val="24"/>
                <w:szCs w:val="24"/>
              </w:rPr>
              <w:t>工作能力</w:t>
            </w:r>
          </w:p>
        </w:tc>
        <w:tc>
          <w:tcPr>
            <w:tcW w:w="3381" w:type="pct"/>
            <w:tcBorders>
              <w:top w:val="single" w:color="auto" w:sz="4" w:space="0"/>
              <w:left w:val="single" w:color="auto" w:sz="4" w:space="0"/>
              <w:bottom w:val="single" w:color="auto" w:sz="4" w:space="0"/>
              <w:right w:val="single" w:color="auto" w:sz="4" w:space="0"/>
            </w:tcBorders>
          </w:tcPr>
          <w:p>
            <w:pPr>
              <w:pStyle w:val="19"/>
              <w:keepNext w:val="0"/>
              <w:keepLines w:val="0"/>
              <w:pageBreakBefore w:val="0"/>
              <w:widowControl w:val="0"/>
              <w:tabs>
                <w:tab w:val="left" w:pos="463"/>
              </w:tabs>
              <w:kinsoku/>
              <w:wordWrap/>
              <w:overflowPunct/>
              <w:topLinePunct w:val="0"/>
              <w:autoSpaceDE/>
              <w:autoSpaceDN/>
              <w:bidi w:val="0"/>
              <w:adjustRightInd w:val="0"/>
              <w:snapToGrid w:val="0"/>
              <w:spacing w:before="41"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从各种形式的维修资料中读取技术数据和相关说明</w:t>
            </w:r>
          </w:p>
          <w:p>
            <w:pPr>
              <w:pStyle w:val="19"/>
              <w:keepNext w:val="0"/>
              <w:keepLines w:val="0"/>
              <w:pageBreakBefore w:val="0"/>
              <w:widowControl w:val="0"/>
              <w:tabs>
                <w:tab w:val="left" w:pos="463"/>
              </w:tabs>
              <w:kinsoku/>
              <w:wordWrap/>
              <w:overflowPunct/>
              <w:topLinePunct w:val="0"/>
              <w:autoSpaceDE/>
              <w:autoSpaceDN/>
              <w:bidi w:val="0"/>
              <w:adjustRightInd w:val="0"/>
              <w:snapToGrid w:val="0"/>
              <w:spacing w:before="154"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以规范的书写或电子的方式进行记录</w:t>
            </w:r>
          </w:p>
          <w:p>
            <w:pPr>
              <w:pStyle w:val="19"/>
              <w:keepNext w:val="0"/>
              <w:keepLines w:val="0"/>
              <w:pageBreakBefore w:val="0"/>
              <w:widowControl w:val="0"/>
              <w:tabs>
                <w:tab w:val="left" w:pos="463"/>
              </w:tabs>
              <w:kinsoku/>
              <w:wordWrap/>
              <w:overflowPunct/>
              <w:topLinePunct w:val="0"/>
              <w:autoSpaceDE/>
              <w:autoSpaceDN/>
              <w:bidi w:val="0"/>
              <w:adjustRightInd w:val="0"/>
              <w:snapToGrid w:val="0"/>
              <w:spacing w:before="154"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以口头、书写或电子的方式沟通，确保清晰、高效</w:t>
            </w:r>
          </w:p>
          <w:p>
            <w:pPr>
              <w:pStyle w:val="19"/>
              <w:keepNext w:val="0"/>
              <w:keepLines w:val="0"/>
              <w:pageBreakBefore w:val="0"/>
              <w:widowControl w:val="0"/>
              <w:tabs>
                <w:tab w:val="left" w:pos="463"/>
              </w:tabs>
              <w:kinsoku/>
              <w:wordWrap/>
              <w:overflowPunct/>
              <w:topLinePunct w:val="0"/>
              <w:autoSpaceDE/>
              <w:autoSpaceDN/>
              <w:bidi w:val="0"/>
              <w:adjustRightInd w:val="0"/>
              <w:snapToGrid w:val="0"/>
              <w:spacing w:before="154"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使用规范的沟通技巧</w:t>
            </w:r>
          </w:p>
          <w:p>
            <w:pPr>
              <w:pStyle w:val="19"/>
              <w:keepNext w:val="0"/>
              <w:keepLines w:val="0"/>
              <w:pageBreakBefore w:val="0"/>
              <w:widowControl w:val="0"/>
              <w:tabs>
                <w:tab w:val="left" w:pos="463"/>
              </w:tabs>
              <w:kinsoku/>
              <w:wordWrap/>
              <w:overflowPunct/>
              <w:topLinePunct w:val="0"/>
              <w:autoSpaceDE/>
              <w:autoSpaceDN/>
              <w:bidi w:val="0"/>
              <w:adjustRightInd w:val="0"/>
              <w:snapToGrid w:val="0"/>
              <w:spacing w:before="154"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填写报告单，对出现的事件和问题做出回应</w:t>
            </w:r>
          </w:p>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127"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直接或间接地对客户的需求做出回应</w:t>
            </w:r>
          </w:p>
        </w:tc>
        <w:tc>
          <w:tcPr>
            <w:tcW w:w="943" w:type="pct"/>
            <w:vMerge w:val="continue"/>
            <w:tcBorders>
              <w:left w:val="single" w:color="auto" w:sz="4" w:space="0"/>
              <w:bottom w:val="single" w:color="auto" w:sz="4" w:space="0"/>
              <w:right w:val="single" w:color="auto" w:sz="4" w:space="0"/>
            </w:tcBorders>
          </w:tcPr>
          <w:p>
            <w:pPr>
              <w:ind w:firstLine="480"/>
              <w:rPr>
                <w:rFonts w:ascii="宋体" w:hAnsi="宋体" w:eastAsia="宋体" w:cs="宋体"/>
                <w:sz w:val="24"/>
                <w:szCs w:val="24"/>
                <w:lang w:eastAsia="zh-CN"/>
              </w:rPr>
            </w:pPr>
          </w:p>
        </w:tc>
      </w:tr>
      <w:tr>
        <w:tblPrEx>
          <w:tblCellMar>
            <w:top w:w="0" w:type="dxa"/>
            <w:left w:w="0" w:type="dxa"/>
            <w:bottom w:w="0" w:type="dxa"/>
            <w:right w:w="0" w:type="dxa"/>
          </w:tblCellMar>
        </w:tblPrEx>
        <w:trPr>
          <w:trHeight w:val="567" w:hRule="atLeast"/>
        </w:trPr>
        <w:tc>
          <w:tcPr>
            <w:tcW w:w="67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9"/>
              <w:ind w:firstLine="0" w:firstLineChars="0"/>
              <w:jc w:val="center"/>
              <w:rPr>
                <w:rFonts w:hint="eastAsia" w:ascii="宋体" w:hAnsi="宋体" w:eastAsia="宋体" w:cs="宋体"/>
                <w:sz w:val="24"/>
                <w:szCs w:val="24"/>
                <w:lang w:eastAsia="zh-CN"/>
              </w:rPr>
            </w:pPr>
            <w:r>
              <w:rPr>
                <w:rFonts w:hint="eastAsia" w:ascii="宋体" w:hAnsi="宋体" w:eastAsia="宋体" w:cs="宋体"/>
                <w:b/>
                <w:sz w:val="24"/>
                <w:szCs w:val="24"/>
                <w:lang w:val="en-US" w:eastAsia="zh-CN"/>
              </w:rPr>
              <w:t>3</w:t>
            </w:r>
          </w:p>
        </w:tc>
        <w:tc>
          <w:tcPr>
            <w:tcW w:w="3381" w:type="pct"/>
            <w:tcBorders>
              <w:top w:val="single" w:color="auto" w:sz="4" w:space="0"/>
              <w:left w:val="single" w:color="auto" w:sz="4" w:space="0"/>
              <w:bottom w:val="single" w:color="auto" w:sz="4" w:space="0"/>
              <w:right w:val="single" w:color="auto" w:sz="4" w:space="0"/>
            </w:tcBorders>
            <w:shd w:val="clear" w:color="auto" w:fill="auto"/>
          </w:tcPr>
          <w:p>
            <w:pPr>
              <w:pStyle w:val="19"/>
              <w:tabs>
                <w:tab w:val="left" w:pos="460"/>
              </w:tabs>
              <w:spacing w:before="127"/>
              <w:ind w:left="103" w:firstLine="482"/>
              <w:rPr>
                <w:rFonts w:ascii="宋体" w:hAnsi="宋体" w:eastAsia="宋体" w:cs="宋体"/>
                <w:sz w:val="24"/>
                <w:szCs w:val="24"/>
              </w:rPr>
            </w:pPr>
            <w:r>
              <w:rPr>
                <w:rFonts w:hint="eastAsia" w:ascii="宋体" w:hAnsi="宋体" w:eastAsia="宋体" w:cs="宋体"/>
                <w:b/>
                <w:bCs/>
                <w:sz w:val="24"/>
                <w:szCs w:val="24"/>
              </w:rPr>
              <w:t>检查和诊断</w:t>
            </w:r>
          </w:p>
        </w:tc>
        <w:tc>
          <w:tcPr>
            <w:tcW w:w="943" w:type="pct"/>
            <w:vMerge w:val="restart"/>
            <w:tcBorders>
              <w:top w:val="single" w:color="auto" w:sz="4" w:space="0"/>
              <w:left w:val="single" w:color="auto" w:sz="4" w:space="0"/>
              <w:right w:val="single" w:color="auto" w:sz="4" w:space="0"/>
            </w:tcBorders>
            <w:vAlign w:val="center"/>
          </w:tcPr>
          <w:p>
            <w:pPr>
              <w:ind w:firstLine="0" w:firstLineChars="0"/>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40</w:t>
            </w:r>
          </w:p>
        </w:tc>
      </w:tr>
      <w:tr>
        <w:tblPrEx>
          <w:tblCellMar>
            <w:top w:w="0" w:type="dxa"/>
            <w:left w:w="0" w:type="dxa"/>
            <w:bottom w:w="0" w:type="dxa"/>
            <w:right w:w="0" w:type="dxa"/>
          </w:tblCellMar>
        </w:tblPrEx>
        <w:trPr>
          <w:trHeight w:val="567" w:hRule="atLeast"/>
        </w:trPr>
        <w:tc>
          <w:tcPr>
            <w:tcW w:w="674"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ascii="宋体" w:hAnsi="宋体" w:eastAsia="宋体" w:cs="宋体"/>
                <w:sz w:val="24"/>
                <w:szCs w:val="24"/>
              </w:rPr>
            </w:pPr>
            <w:r>
              <w:rPr>
                <w:rFonts w:hint="eastAsia" w:ascii="宋体" w:hAnsi="宋体" w:eastAsia="宋体" w:cs="宋体"/>
                <w:sz w:val="24"/>
                <w:szCs w:val="24"/>
              </w:rPr>
              <w:t>基本知识</w:t>
            </w:r>
          </w:p>
        </w:tc>
        <w:tc>
          <w:tcPr>
            <w:tcW w:w="3381" w:type="pct"/>
            <w:tcBorders>
              <w:top w:val="single" w:color="auto" w:sz="4" w:space="0"/>
              <w:left w:val="single" w:color="auto" w:sz="4" w:space="0"/>
              <w:bottom w:val="single" w:color="auto" w:sz="4" w:space="0"/>
              <w:right w:val="single" w:color="auto" w:sz="4" w:space="0"/>
            </w:tcBorders>
          </w:tcPr>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72"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正确使用检测诊断设备</w:t>
            </w:r>
          </w:p>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125"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检测数据和数学计算的原理和应用</w:t>
            </w:r>
          </w:p>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127"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专业诊断程序、工具和设备的原理和应用</w:t>
            </w:r>
          </w:p>
        </w:tc>
        <w:tc>
          <w:tcPr>
            <w:tcW w:w="943" w:type="pct"/>
            <w:vMerge w:val="continue"/>
            <w:tcBorders>
              <w:left w:val="single" w:color="auto" w:sz="4" w:space="0"/>
              <w:right w:val="single" w:color="auto" w:sz="4" w:space="0"/>
            </w:tcBorders>
          </w:tcPr>
          <w:p>
            <w:pPr>
              <w:ind w:firstLine="480"/>
              <w:rPr>
                <w:rFonts w:ascii="宋体" w:hAnsi="宋体" w:eastAsia="宋体" w:cs="宋体"/>
                <w:sz w:val="24"/>
                <w:szCs w:val="24"/>
                <w:lang w:eastAsia="zh-CN"/>
              </w:rPr>
            </w:pPr>
          </w:p>
        </w:tc>
      </w:tr>
      <w:tr>
        <w:tblPrEx>
          <w:tblCellMar>
            <w:top w:w="0" w:type="dxa"/>
            <w:left w:w="0" w:type="dxa"/>
            <w:bottom w:w="0" w:type="dxa"/>
            <w:right w:w="0" w:type="dxa"/>
          </w:tblCellMar>
        </w:tblPrEx>
        <w:trPr>
          <w:trHeight w:val="567" w:hRule="atLeast"/>
        </w:trPr>
        <w:tc>
          <w:tcPr>
            <w:tcW w:w="674"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ascii="宋体" w:hAnsi="宋体" w:eastAsia="宋体" w:cs="宋体"/>
                <w:sz w:val="24"/>
                <w:szCs w:val="24"/>
              </w:rPr>
            </w:pPr>
            <w:r>
              <w:rPr>
                <w:rFonts w:hint="eastAsia" w:ascii="宋体" w:hAnsi="宋体" w:eastAsia="宋体" w:cs="宋体"/>
                <w:sz w:val="24"/>
                <w:szCs w:val="24"/>
              </w:rPr>
              <w:t>工作能力</w:t>
            </w:r>
          </w:p>
        </w:tc>
        <w:tc>
          <w:tcPr>
            <w:tcW w:w="3381" w:type="pct"/>
            <w:tcBorders>
              <w:top w:val="single" w:color="auto" w:sz="4" w:space="0"/>
              <w:left w:val="single" w:color="auto" w:sz="4" w:space="0"/>
              <w:bottom w:val="single" w:color="auto" w:sz="4" w:space="0"/>
              <w:right w:val="single" w:color="auto" w:sz="4" w:space="0"/>
            </w:tcBorders>
          </w:tcPr>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72" w:line="240" w:lineRule="auto"/>
              <w:ind w:left="103"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校准和使用所有检测诊断设备</w:t>
            </w:r>
          </w:p>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127" w:line="240" w:lineRule="auto"/>
              <w:ind w:left="103"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准确判断汽车零部件故障</w:t>
            </w:r>
          </w:p>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125" w:line="240" w:lineRule="auto"/>
              <w:ind w:left="103"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选择和应用检测设备诊断以下系统故障：</w:t>
            </w:r>
          </w:p>
          <w:p>
            <w:pPr>
              <w:pStyle w:val="19"/>
              <w:keepNext w:val="0"/>
              <w:keepLines w:val="0"/>
              <w:pageBreakBefore w:val="0"/>
              <w:widowControl w:val="0"/>
              <w:kinsoku/>
              <w:wordWrap/>
              <w:overflowPunct/>
              <w:topLinePunct w:val="0"/>
              <w:autoSpaceDE/>
              <w:autoSpaceDN/>
              <w:bidi w:val="0"/>
              <w:adjustRightInd w:val="0"/>
              <w:snapToGrid w:val="0"/>
              <w:spacing w:before="125" w:line="240" w:lineRule="auto"/>
              <w:ind w:left="523" w:firstLine="480"/>
              <w:textAlignment w:val="auto"/>
              <w:rPr>
                <w:rFonts w:ascii="宋体" w:hAnsi="宋体" w:eastAsia="宋体" w:cs="宋体"/>
                <w:sz w:val="24"/>
                <w:szCs w:val="24"/>
                <w:lang w:eastAsia="zh-CN"/>
              </w:rPr>
            </w:pPr>
            <w:r>
              <w:rPr>
                <w:rFonts w:hint="eastAsia" w:ascii="宋体" w:hAnsi="宋体" w:eastAsia="宋体" w:cs="宋体"/>
                <w:sz w:val="24"/>
                <w:szCs w:val="24"/>
                <w:lang w:eastAsia="zh-CN"/>
              </w:rPr>
              <w:t>※ 发动机管理系统</w:t>
            </w:r>
          </w:p>
          <w:p>
            <w:pPr>
              <w:pStyle w:val="19"/>
              <w:keepNext w:val="0"/>
              <w:keepLines w:val="0"/>
              <w:pageBreakBefore w:val="0"/>
              <w:widowControl w:val="0"/>
              <w:kinsoku/>
              <w:wordWrap/>
              <w:overflowPunct/>
              <w:topLinePunct w:val="0"/>
              <w:autoSpaceDE/>
              <w:autoSpaceDN/>
              <w:bidi w:val="0"/>
              <w:adjustRightInd w:val="0"/>
              <w:snapToGrid w:val="0"/>
              <w:spacing w:before="127" w:line="240" w:lineRule="auto"/>
              <w:ind w:left="523" w:firstLine="480"/>
              <w:textAlignment w:val="auto"/>
              <w:rPr>
                <w:rFonts w:ascii="宋体" w:hAnsi="宋体" w:eastAsia="宋体" w:cs="宋体"/>
                <w:sz w:val="24"/>
                <w:szCs w:val="24"/>
                <w:lang w:eastAsia="zh-CN"/>
              </w:rPr>
            </w:pPr>
            <w:r>
              <w:rPr>
                <w:rFonts w:hint="eastAsia" w:ascii="宋体" w:hAnsi="宋体" w:eastAsia="宋体" w:cs="宋体"/>
                <w:sz w:val="24"/>
                <w:szCs w:val="24"/>
                <w:lang w:eastAsia="zh-CN"/>
              </w:rPr>
              <w:t>※ 进气增压和排气系统</w:t>
            </w:r>
          </w:p>
          <w:p>
            <w:pPr>
              <w:pStyle w:val="19"/>
              <w:keepNext w:val="0"/>
              <w:keepLines w:val="0"/>
              <w:pageBreakBefore w:val="0"/>
              <w:widowControl w:val="0"/>
              <w:kinsoku/>
              <w:wordWrap/>
              <w:overflowPunct/>
              <w:topLinePunct w:val="0"/>
              <w:autoSpaceDE/>
              <w:autoSpaceDN/>
              <w:bidi w:val="0"/>
              <w:adjustRightInd w:val="0"/>
              <w:snapToGrid w:val="0"/>
              <w:spacing w:before="125" w:line="240" w:lineRule="auto"/>
              <w:ind w:left="523" w:firstLine="480"/>
              <w:textAlignment w:val="auto"/>
              <w:rPr>
                <w:rFonts w:ascii="宋体" w:hAnsi="宋体" w:eastAsia="宋体" w:cs="宋体"/>
                <w:sz w:val="24"/>
                <w:szCs w:val="24"/>
                <w:lang w:eastAsia="zh-CN"/>
              </w:rPr>
            </w:pPr>
            <w:r>
              <w:rPr>
                <w:rFonts w:hint="eastAsia" w:ascii="宋体" w:hAnsi="宋体" w:eastAsia="宋体" w:cs="宋体"/>
                <w:sz w:val="24"/>
                <w:szCs w:val="24"/>
                <w:lang w:eastAsia="zh-CN"/>
              </w:rPr>
              <w:t>※ 车身电气/电子系统</w:t>
            </w:r>
          </w:p>
          <w:p>
            <w:pPr>
              <w:pStyle w:val="19"/>
              <w:keepNext w:val="0"/>
              <w:keepLines w:val="0"/>
              <w:pageBreakBefore w:val="0"/>
              <w:widowControl w:val="0"/>
              <w:kinsoku/>
              <w:wordWrap/>
              <w:overflowPunct/>
              <w:topLinePunct w:val="0"/>
              <w:autoSpaceDE/>
              <w:autoSpaceDN/>
              <w:bidi w:val="0"/>
              <w:adjustRightInd w:val="0"/>
              <w:snapToGrid w:val="0"/>
              <w:spacing w:before="107" w:line="240" w:lineRule="auto"/>
              <w:ind w:left="523" w:firstLine="480"/>
              <w:textAlignment w:val="auto"/>
              <w:rPr>
                <w:rFonts w:ascii="宋体" w:hAnsi="宋体" w:eastAsia="宋体" w:cs="宋体"/>
                <w:sz w:val="24"/>
                <w:szCs w:val="24"/>
                <w:lang w:eastAsia="zh-CN"/>
              </w:rPr>
            </w:pPr>
            <w:r>
              <w:rPr>
                <w:rFonts w:hint="eastAsia" w:ascii="宋体" w:hAnsi="宋体" w:eastAsia="宋体" w:cs="宋体"/>
                <w:sz w:val="24"/>
                <w:szCs w:val="24"/>
                <w:lang w:eastAsia="zh-CN"/>
              </w:rPr>
              <w:t>※ 制动和稳定控制系统</w:t>
            </w:r>
          </w:p>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125" w:line="240" w:lineRule="auto"/>
              <w:ind w:left="103"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按要求计算、检查检测结果</w:t>
            </w:r>
          </w:p>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127" w:line="240" w:lineRule="auto"/>
              <w:ind w:left="103"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选择维修或更换操作</w:t>
            </w:r>
          </w:p>
        </w:tc>
        <w:tc>
          <w:tcPr>
            <w:tcW w:w="943" w:type="pct"/>
            <w:vMerge w:val="continue"/>
            <w:tcBorders>
              <w:left w:val="single" w:color="auto" w:sz="4" w:space="0"/>
              <w:bottom w:val="single" w:color="auto" w:sz="4" w:space="0"/>
              <w:right w:val="single" w:color="auto" w:sz="4" w:space="0"/>
            </w:tcBorders>
          </w:tcPr>
          <w:p>
            <w:pPr>
              <w:ind w:firstLine="480"/>
              <w:rPr>
                <w:rFonts w:ascii="宋体" w:hAnsi="宋体" w:eastAsia="宋体" w:cs="宋体"/>
                <w:sz w:val="24"/>
                <w:szCs w:val="24"/>
                <w:lang w:eastAsia="zh-CN"/>
              </w:rPr>
            </w:pPr>
          </w:p>
        </w:tc>
      </w:tr>
      <w:tr>
        <w:tblPrEx>
          <w:tblCellMar>
            <w:top w:w="0" w:type="dxa"/>
            <w:left w:w="0" w:type="dxa"/>
            <w:bottom w:w="0" w:type="dxa"/>
            <w:right w:w="0" w:type="dxa"/>
          </w:tblCellMar>
        </w:tblPrEx>
        <w:trPr>
          <w:trHeight w:val="567" w:hRule="atLeast"/>
        </w:trPr>
        <w:tc>
          <w:tcPr>
            <w:tcW w:w="674"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9"/>
              <w:ind w:firstLine="0" w:firstLineChars="0"/>
              <w:jc w:val="center"/>
              <w:rPr>
                <w:rFonts w:hint="eastAsia" w:ascii="宋体" w:hAnsi="宋体" w:eastAsia="宋体" w:cs="宋体"/>
                <w:sz w:val="24"/>
                <w:szCs w:val="24"/>
                <w:lang w:eastAsia="zh-CN"/>
              </w:rPr>
            </w:pPr>
            <w:r>
              <w:rPr>
                <w:rFonts w:hint="eastAsia" w:ascii="宋体" w:hAnsi="宋体" w:eastAsia="宋体" w:cs="宋体"/>
                <w:b/>
                <w:sz w:val="24"/>
                <w:szCs w:val="24"/>
                <w:lang w:val="en-US" w:eastAsia="zh-CN"/>
              </w:rPr>
              <w:t>4</w:t>
            </w:r>
          </w:p>
        </w:tc>
        <w:tc>
          <w:tcPr>
            <w:tcW w:w="3381" w:type="pct"/>
            <w:tcBorders>
              <w:top w:val="single" w:color="auto" w:sz="4" w:space="0"/>
              <w:left w:val="single" w:color="auto" w:sz="4" w:space="0"/>
              <w:bottom w:val="single" w:color="auto" w:sz="4" w:space="0"/>
              <w:right w:val="single" w:color="auto" w:sz="4" w:space="0"/>
            </w:tcBorders>
            <w:shd w:val="clear" w:color="auto" w:fill="auto"/>
          </w:tcPr>
          <w:p>
            <w:pPr>
              <w:pStyle w:val="19"/>
              <w:tabs>
                <w:tab w:val="left" w:pos="460"/>
              </w:tabs>
              <w:spacing w:before="127"/>
              <w:ind w:left="103" w:firstLine="482"/>
              <w:rPr>
                <w:rFonts w:ascii="宋体" w:hAnsi="宋体" w:eastAsia="宋体" w:cs="宋体"/>
                <w:sz w:val="24"/>
                <w:szCs w:val="24"/>
              </w:rPr>
            </w:pPr>
            <w:r>
              <w:rPr>
                <w:rFonts w:hint="eastAsia" w:ascii="宋体" w:hAnsi="宋体" w:eastAsia="宋体" w:cs="宋体"/>
                <w:b/>
                <w:bCs/>
                <w:sz w:val="24"/>
                <w:szCs w:val="24"/>
              </w:rPr>
              <w:t>维护、修理和大修</w:t>
            </w:r>
          </w:p>
        </w:tc>
        <w:tc>
          <w:tcPr>
            <w:tcW w:w="943" w:type="pct"/>
            <w:vMerge w:val="restart"/>
            <w:tcBorders>
              <w:top w:val="single" w:color="auto" w:sz="4" w:space="0"/>
              <w:left w:val="single" w:color="auto" w:sz="4" w:space="0"/>
              <w:right w:val="single" w:color="auto" w:sz="4" w:space="0"/>
            </w:tcBorders>
            <w:vAlign w:val="center"/>
          </w:tcPr>
          <w:p>
            <w:pPr>
              <w:ind w:firstLine="0" w:firstLineChars="0"/>
              <w:jc w:val="center"/>
              <w:rPr>
                <w:rFonts w:ascii="宋体" w:hAnsi="宋体" w:eastAsia="宋体" w:cs="宋体"/>
                <w:sz w:val="24"/>
                <w:szCs w:val="24"/>
                <w:lang w:eastAsia="zh-CN"/>
              </w:rPr>
            </w:pPr>
            <w:r>
              <w:rPr>
                <w:rFonts w:hint="eastAsia" w:ascii="宋体" w:hAnsi="宋体" w:eastAsia="宋体" w:cs="宋体"/>
                <w:b w:val="0"/>
                <w:bCs/>
                <w:sz w:val="24"/>
                <w:szCs w:val="24"/>
                <w:lang w:val="en-US" w:eastAsia="zh-CN"/>
              </w:rPr>
              <w:t>3</w:t>
            </w:r>
            <w:r>
              <w:rPr>
                <w:rFonts w:hint="eastAsia" w:ascii="宋体" w:hAnsi="宋体" w:eastAsia="宋体" w:cs="宋体"/>
                <w:b w:val="0"/>
                <w:bCs/>
                <w:sz w:val="24"/>
                <w:szCs w:val="24"/>
              </w:rPr>
              <w:t>5</w:t>
            </w:r>
          </w:p>
        </w:tc>
      </w:tr>
      <w:tr>
        <w:tblPrEx>
          <w:tblCellMar>
            <w:top w:w="0" w:type="dxa"/>
            <w:left w:w="0" w:type="dxa"/>
            <w:bottom w:w="0" w:type="dxa"/>
            <w:right w:w="0" w:type="dxa"/>
          </w:tblCellMar>
        </w:tblPrEx>
        <w:trPr>
          <w:trHeight w:val="567" w:hRule="atLeast"/>
        </w:trPr>
        <w:tc>
          <w:tcPr>
            <w:tcW w:w="674"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ascii="宋体" w:hAnsi="宋体" w:eastAsia="宋体" w:cs="宋体"/>
                <w:b/>
                <w:sz w:val="24"/>
                <w:szCs w:val="24"/>
              </w:rPr>
            </w:pPr>
            <w:r>
              <w:rPr>
                <w:rFonts w:hint="eastAsia" w:ascii="宋体" w:hAnsi="宋体" w:eastAsia="宋体" w:cs="宋体"/>
                <w:sz w:val="24"/>
                <w:szCs w:val="24"/>
              </w:rPr>
              <w:t>基本知识</w:t>
            </w:r>
          </w:p>
        </w:tc>
        <w:tc>
          <w:tcPr>
            <w:tcW w:w="3381" w:type="pct"/>
            <w:tcBorders>
              <w:top w:val="single" w:color="auto" w:sz="4" w:space="0"/>
              <w:left w:val="single" w:color="auto" w:sz="4" w:space="0"/>
              <w:bottom w:val="single" w:color="auto" w:sz="4" w:space="0"/>
              <w:right w:val="single" w:color="auto" w:sz="4" w:space="0"/>
            </w:tcBorders>
          </w:tcPr>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72"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选择维修或替换</w:t>
            </w:r>
          </w:p>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127"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维修方法/程序、专用工具要求</w:t>
            </w:r>
          </w:p>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127" w:line="240" w:lineRule="auto"/>
              <w:ind w:left="102" w:firstLine="480"/>
              <w:textAlignment w:val="auto"/>
              <w:rPr>
                <w:rFonts w:ascii="宋体" w:hAnsi="宋体" w:eastAsia="宋体" w:cs="宋体"/>
                <w:b/>
                <w:bCs/>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相关维修工作能达到的效果</w:t>
            </w:r>
          </w:p>
        </w:tc>
        <w:tc>
          <w:tcPr>
            <w:tcW w:w="943" w:type="pct"/>
            <w:vMerge w:val="continue"/>
            <w:tcBorders>
              <w:left w:val="single" w:color="auto" w:sz="4" w:space="0"/>
              <w:right w:val="single" w:color="auto" w:sz="4" w:space="0"/>
            </w:tcBorders>
          </w:tcPr>
          <w:p>
            <w:pPr>
              <w:ind w:firstLine="480"/>
              <w:rPr>
                <w:rFonts w:ascii="宋体" w:hAnsi="宋体" w:eastAsia="宋体" w:cs="宋体"/>
                <w:sz w:val="24"/>
                <w:szCs w:val="24"/>
                <w:lang w:eastAsia="zh-CN"/>
              </w:rPr>
            </w:pPr>
          </w:p>
        </w:tc>
      </w:tr>
      <w:tr>
        <w:tblPrEx>
          <w:tblCellMar>
            <w:top w:w="0" w:type="dxa"/>
            <w:left w:w="0" w:type="dxa"/>
            <w:bottom w:w="0" w:type="dxa"/>
            <w:right w:w="0" w:type="dxa"/>
          </w:tblCellMar>
        </w:tblPrEx>
        <w:trPr>
          <w:trHeight w:val="567" w:hRule="atLeast"/>
        </w:trPr>
        <w:tc>
          <w:tcPr>
            <w:tcW w:w="674"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ascii="宋体" w:hAnsi="宋体" w:eastAsia="宋体" w:cs="宋体"/>
                <w:sz w:val="24"/>
                <w:szCs w:val="24"/>
              </w:rPr>
            </w:pPr>
            <w:r>
              <w:rPr>
                <w:rFonts w:hint="eastAsia" w:ascii="宋体" w:hAnsi="宋体" w:eastAsia="宋体" w:cs="宋体"/>
                <w:sz w:val="24"/>
                <w:szCs w:val="24"/>
              </w:rPr>
              <w:t>工作能力</w:t>
            </w:r>
          </w:p>
        </w:tc>
        <w:tc>
          <w:tcPr>
            <w:tcW w:w="3381" w:type="pct"/>
            <w:tcBorders>
              <w:top w:val="single" w:color="auto" w:sz="4" w:space="0"/>
              <w:left w:val="single" w:color="auto" w:sz="4" w:space="0"/>
              <w:bottom w:val="single" w:color="auto" w:sz="4" w:space="0"/>
              <w:right w:val="single" w:color="auto" w:sz="4" w:space="0"/>
            </w:tcBorders>
          </w:tcPr>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72"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按要求使用制造商对零部件的规格要求</w:t>
            </w:r>
          </w:p>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128"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针对维修或替换操作提出可行的建议和决定</w:t>
            </w:r>
          </w:p>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125"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采用正确的程序拆装、更换零件</w:t>
            </w:r>
          </w:p>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125"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检查/维修发动机和相关发动机零部件</w:t>
            </w:r>
          </w:p>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109"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检查/维修汽油燃油供给系统</w:t>
            </w:r>
          </w:p>
          <w:p>
            <w:pPr>
              <w:pStyle w:val="19"/>
              <w:keepNext w:val="0"/>
              <w:keepLines w:val="0"/>
              <w:pageBreakBefore w:val="0"/>
              <w:widowControl w:val="0"/>
              <w:tabs>
                <w:tab w:val="left" w:pos="460"/>
              </w:tabs>
              <w:kinsoku/>
              <w:wordWrap/>
              <w:overflowPunct/>
              <w:topLinePunct w:val="0"/>
              <w:autoSpaceDE/>
              <w:autoSpaceDN/>
              <w:bidi w:val="0"/>
              <w:adjustRightInd w:val="0"/>
              <w:snapToGrid w:val="0"/>
              <w:spacing w:before="127" w:line="240" w:lineRule="auto"/>
              <w:ind w:left="102" w:firstLine="480"/>
              <w:textAlignment w:val="auto"/>
              <w:rPr>
                <w:rFonts w:ascii="宋体" w:hAnsi="宋体" w:eastAsia="宋体" w:cs="宋体"/>
                <w:sz w:val="24"/>
                <w:szCs w:val="24"/>
                <w:lang w:eastAsia="zh-CN"/>
              </w:rPr>
            </w:pPr>
            <w:r>
              <w:rPr>
                <w:rFonts w:ascii="Arial" w:hAnsi="Arial" w:eastAsia="宋体" w:cs="Arial"/>
                <w:sz w:val="24"/>
                <w:szCs w:val="24"/>
                <w:lang w:eastAsia="zh-CN"/>
              </w:rPr>
              <w:t>●</w:t>
            </w:r>
            <w:r>
              <w:rPr>
                <w:rFonts w:hint="eastAsia" w:ascii="Arial" w:hAnsi="Arial" w:eastAsia="宋体" w:cs="Arial"/>
                <w:sz w:val="24"/>
                <w:szCs w:val="24"/>
                <w:lang w:eastAsia="zh-CN"/>
              </w:rPr>
              <w:t xml:space="preserve">  </w:t>
            </w:r>
            <w:r>
              <w:rPr>
                <w:rFonts w:hint="eastAsia" w:ascii="宋体" w:hAnsi="宋体" w:eastAsia="宋体" w:cs="宋体"/>
                <w:sz w:val="24"/>
                <w:szCs w:val="24"/>
                <w:lang w:eastAsia="zh-CN"/>
              </w:rPr>
              <w:t>维修车辆电气系统和电路（包括充电和起动系统）</w:t>
            </w:r>
          </w:p>
        </w:tc>
        <w:tc>
          <w:tcPr>
            <w:tcW w:w="943" w:type="pct"/>
            <w:vMerge w:val="continue"/>
            <w:tcBorders>
              <w:left w:val="single" w:color="auto" w:sz="4" w:space="0"/>
              <w:bottom w:val="single" w:color="auto" w:sz="4" w:space="0"/>
              <w:right w:val="single" w:color="auto" w:sz="4" w:space="0"/>
            </w:tcBorders>
          </w:tcPr>
          <w:p>
            <w:pPr>
              <w:ind w:firstLine="480"/>
              <w:rPr>
                <w:rFonts w:ascii="宋体" w:hAnsi="宋体" w:eastAsia="宋体" w:cs="宋体"/>
                <w:sz w:val="24"/>
                <w:szCs w:val="24"/>
                <w:lang w:eastAsia="zh-CN"/>
              </w:rPr>
            </w:pPr>
          </w:p>
        </w:tc>
      </w:tr>
      <w:tr>
        <w:tblPrEx>
          <w:tblCellMar>
            <w:top w:w="0" w:type="dxa"/>
            <w:left w:w="0" w:type="dxa"/>
            <w:bottom w:w="0" w:type="dxa"/>
            <w:right w:w="0" w:type="dxa"/>
          </w:tblCellMar>
        </w:tblPrEx>
        <w:trPr>
          <w:trHeight w:val="567" w:hRule="atLeast"/>
        </w:trPr>
        <w:tc>
          <w:tcPr>
            <w:tcW w:w="674" w:type="pct"/>
            <w:tcBorders>
              <w:top w:val="single" w:color="auto" w:sz="4" w:space="0"/>
              <w:left w:val="single" w:color="auto" w:sz="4" w:space="0"/>
              <w:bottom w:val="single" w:color="auto" w:sz="4" w:space="0"/>
              <w:right w:val="single" w:color="auto" w:sz="4" w:space="0"/>
            </w:tcBorders>
            <w:vAlign w:val="center"/>
          </w:tcPr>
          <w:p>
            <w:pPr>
              <w:pStyle w:val="19"/>
              <w:ind w:firstLine="0" w:firstLineChars="0"/>
              <w:jc w:val="center"/>
              <w:rPr>
                <w:rFonts w:ascii="宋体" w:hAnsi="宋体" w:eastAsia="宋体" w:cs="宋体"/>
                <w:sz w:val="24"/>
                <w:szCs w:val="24"/>
                <w:lang w:eastAsia="zh-CN"/>
              </w:rPr>
            </w:pPr>
          </w:p>
        </w:tc>
        <w:tc>
          <w:tcPr>
            <w:tcW w:w="3381" w:type="pct"/>
            <w:tcBorders>
              <w:top w:val="single" w:color="auto" w:sz="4" w:space="0"/>
              <w:left w:val="single" w:color="auto" w:sz="4" w:space="0"/>
              <w:bottom w:val="single" w:color="auto" w:sz="4" w:space="0"/>
              <w:right w:val="single" w:color="auto" w:sz="4" w:space="0"/>
            </w:tcBorders>
          </w:tcPr>
          <w:p>
            <w:pPr>
              <w:pStyle w:val="19"/>
              <w:tabs>
                <w:tab w:val="left" w:pos="460"/>
              </w:tabs>
              <w:spacing w:before="127"/>
              <w:ind w:left="103" w:firstLine="482"/>
              <w:jc w:val="center"/>
              <w:rPr>
                <w:rFonts w:ascii="宋体" w:hAnsi="宋体" w:eastAsia="宋体" w:cs="宋体"/>
                <w:sz w:val="24"/>
                <w:szCs w:val="24"/>
                <w:lang w:eastAsia="zh-CN"/>
              </w:rPr>
            </w:pPr>
            <w:r>
              <w:rPr>
                <w:rFonts w:hint="eastAsia" w:ascii="宋体" w:hAnsi="宋体" w:eastAsia="宋体" w:cs="宋体"/>
                <w:b/>
                <w:bCs/>
                <w:sz w:val="24"/>
                <w:szCs w:val="24"/>
                <w:lang w:eastAsia="zh-CN"/>
              </w:rPr>
              <w:t>总分值</w:t>
            </w:r>
          </w:p>
        </w:tc>
        <w:tc>
          <w:tcPr>
            <w:tcW w:w="943" w:type="pct"/>
            <w:tcBorders>
              <w:top w:val="single" w:color="auto" w:sz="4" w:space="0"/>
              <w:left w:val="single" w:color="auto" w:sz="4" w:space="0"/>
              <w:bottom w:val="single" w:color="auto" w:sz="4" w:space="0"/>
              <w:right w:val="single" w:color="auto" w:sz="4" w:space="0"/>
            </w:tcBorders>
            <w:vAlign w:val="center"/>
          </w:tcPr>
          <w:p>
            <w:pPr>
              <w:ind w:firstLine="0" w:firstLineChars="0"/>
              <w:jc w:val="center"/>
              <w:rPr>
                <w:rFonts w:ascii="宋体" w:hAnsi="宋体" w:eastAsia="宋体" w:cs="宋体"/>
                <w:sz w:val="24"/>
                <w:szCs w:val="24"/>
                <w:lang w:eastAsia="zh-CN"/>
              </w:rPr>
            </w:pPr>
            <w:r>
              <w:rPr>
                <w:rFonts w:hint="eastAsia" w:ascii="宋体" w:hAnsi="宋体" w:eastAsia="宋体" w:cs="宋体"/>
                <w:b/>
                <w:sz w:val="24"/>
                <w:szCs w:val="24"/>
              </w:rPr>
              <w:t>100</w:t>
            </w:r>
          </w:p>
        </w:tc>
      </w:tr>
    </w:tbl>
    <w:p>
      <w:pPr>
        <w:pStyle w:val="3"/>
        <w:spacing w:before="72"/>
        <w:ind w:firstLine="640"/>
        <w:rPr>
          <w:rFonts w:ascii="黑体" w:hAnsi="黑体" w:eastAsia="黑体" w:cs="黑体"/>
          <w:b w:val="0"/>
          <w:bCs w:val="0"/>
          <w:sz w:val="32"/>
          <w:lang w:eastAsia="zh-CN"/>
        </w:rPr>
      </w:pPr>
      <w:bookmarkStart w:id="4" w:name="二、试题与评判标准"/>
      <w:bookmarkEnd w:id="4"/>
      <w:bookmarkStart w:id="5" w:name="_Toc2375"/>
      <w:r>
        <w:rPr>
          <w:rFonts w:hint="eastAsia" w:ascii="黑体" w:hAnsi="黑体" w:eastAsia="黑体" w:cs="黑体"/>
          <w:b w:val="0"/>
          <w:bCs w:val="0"/>
          <w:sz w:val="32"/>
          <w:lang w:eastAsia="zh-CN"/>
        </w:rPr>
        <w:t>二、试题与评判标准</w:t>
      </w:r>
      <w:bookmarkEnd w:id="5"/>
    </w:p>
    <w:p>
      <w:pPr>
        <w:pStyle w:val="4"/>
        <w:ind w:firstLine="643"/>
        <w:rPr>
          <w:sz w:val="32"/>
          <w:lang w:eastAsia="zh-CN"/>
        </w:rPr>
      </w:pPr>
      <w:bookmarkStart w:id="6" w:name="（一）试题"/>
      <w:bookmarkEnd w:id="6"/>
      <w:bookmarkStart w:id="7" w:name="_Toc11743"/>
      <w:r>
        <w:rPr>
          <w:sz w:val="32"/>
          <w:lang w:eastAsia="zh-CN"/>
        </w:rPr>
        <w:t>（一）试题</w:t>
      </w:r>
      <w:bookmarkEnd w:id="7"/>
    </w:p>
    <w:p>
      <w:pPr>
        <w:pStyle w:val="5"/>
        <w:ind w:firstLine="643"/>
        <w:rPr>
          <w:sz w:val="32"/>
          <w:lang w:eastAsia="zh-CN"/>
        </w:rPr>
      </w:pPr>
      <w:bookmarkStart w:id="8" w:name="1．考核模块"/>
      <w:bookmarkEnd w:id="8"/>
      <w:r>
        <w:rPr>
          <w:b/>
          <w:bCs/>
          <w:sz w:val="32"/>
          <w:lang w:eastAsia="zh-CN"/>
        </w:rPr>
        <w:t>1</w:t>
      </w:r>
      <w:r>
        <w:rPr>
          <w:rFonts w:hint="eastAsia"/>
          <w:b/>
          <w:bCs/>
          <w:sz w:val="32"/>
          <w:lang w:eastAsia="zh-CN"/>
        </w:rPr>
        <w:t>.</w:t>
      </w:r>
      <w:r>
        <w:rPr>
          <w:rFonts w:hint="eastAsia"/>
          <w:sz w:val="32"/>
          <w:lang w:eastAsia="zh-CN"/>
        </w:rPr>
        <w:t>基本内容</w:t>
      </w:r>
    </w:p>
    <w:p>
      <w:pPr>
        <w:pStyle w:val="5"/>
        <w:ind w:firstLine="640"/>
        <w:rPr>
          <w:rFonts w:hint="default" w:cs="仿宋"/>
          <w:sz w:val="32"/>
          <w:lang w:val="en-US" w:eastAsia="zh-CN"/>
        </w:rPr>
      </w:pPr>
      <w:r>
        <w:rPr>
          <w:rFonts w:hint="eastAsia" w:cs="仿宋"/>
          <w:sz w:val="32"/>
          <w:lang w:eastAsia="zh-CN"/>
        </w:rPr>
        <w:t>（</w:t>
      </w:r>
      <w:r>
        <w:rPr>
          <w:rFonts w:hint="eastAsia" w:cs="仿宋"/>
          <w:sz w:val="32"/>
          <w:lang w:val="en-US" w:eastAsia="zh-CN"/>
        </w:rPr>
        <w:t>一</w:t>
      </w:r>
      <w:r>
        <w:rPr>
          <w:rFonts w:hint="eastAsia" w:cs="仿宋"/>
          <w:sz w:val="32"/>
          <w:lang w:eastAsia="zh-CN"/>
        </w:rPr>
        <w:t>）汽车</w:t>
      </w:r>
      <w:r>
        <w:rPr>
          <w:rFonts w:hint="eastAsia" w:cs="仿宋"/>
          <w:sz w:val="32"/>
          <w:lang w:val="en-US" w:eastAsia="zh-CN"/>
        </w:rPr>
        <w:t>技术</w:t>
      </w:r>
      <w:r>
        <w:rPr>
          <w:rFonts w:hint="eastAsia" w:cs="仿宋"/>
          <w:sz w:val="32"/>
          <w:lang w:eastAsia="zh-CN"/>
        </w:rPr>
        <w:t>项目设置</w:t>
      </w:r>
      <w:r>
        <w:rPr>
          <w:rFonts w:hint="eastAsia" w:cs="仿宋"/>
          <w:sz w:val="32"/>
          <w:lang w:val="en-US" w:eastAsia="zh-CN"/>
        </w:rPr>
        <w:t>理论考试；</w:t>
      </w:r>
    </w:p>
    <w:p>
      <w:pPr>
        <w:pStyle w:val="5"/>
        <w:ind w:firstLine="640"/>
        <w:rPr>
          <w:rFonts w:hint="eastAsia" w:cs="仿宋"/>
          <w:sz w:val="32"/>
          <w:lang w:eastAsia="zh-CN"/>
        </w:rPr>
      </w:pPr>
      <w:r>
        <w:rPr>
          <w:rFonts w:hint="eastAsia" w:cs="仿宋"/>
          <w:sz w:val="32"/>
          <w:lang w:eastAsia="zh-CN"/>
        </w:rPr>
        <w:t>（</w:t>
      </w:r>
      <w:r>
        <w:rPr>
          <w:rFonts w:hint="eastAsia" w:cs="仿宋"/>
          <w:sz w:val="32"/>
          <w:lang w:val="en-US" w:eastAsia="zh-CN"/>
        </w:rPr>
        <w:t>二</w:t>
      </w:r>
      <w:r>
        <w:rPr>
          <w:rFonts w:hint="eastAsia" w:cs="仿宋"/>
          <w:sz w:val="32"/>
          <w:lang w:eastAsia="zh-CN"/>
        </w:rPr>
        <w:t>）汽车</w:t>
      </w:r>
      <w:r>
        <w:rPr>
          <w:rFonts w:hint="eastAsia" w:cs="仿宋"/>
          <w:sz w:val="32"/>
          <w:lang w:val="en-US" w:eastAsia="zh-CN"/>
        </w:rPr>
        <w:t>技术</w:t>
      </w:r>
      <w:r>
        <w:rPr>
          <w:rFonts w:hint="eastAsia" w:cs="仿宋"/>
          <w:sz w:val="32"/>
          <w:lang w:eastAsia="zh-CN"/>
        </w:rPr>
        <w:t>项目设置</w:t>
      </w:r>
      <w:r>
        <w:rPr>
          <w:rFonts w:hint="eastAsia" w:cs="仿宋"/>
          <w:kern w:val="2"/>
          <w:sz w:val="32"/>
          <w:lang w:val="en-US" w:eastAsia="zh-CN"/>
        </w:rPr>
        <w:t>2</w:t>
      </w:r>
      <w:r>
        <w:rPr>
          <w:rFonts w:hint="eastAsia" w:cs="仿宋"/>
          <w:sz w:val="32"/>
          <w:lang w:eastAsia="zh-CN"/>
        </w:rPr>
        <w:t>个</w:t>
      </w:r>
      <w:r>
        <w:rPr>
          <w:rFonts w:hint="eastAsia" w:cs="仿宋"/>
          <w:sz w:val="32"/>
          <w:lang w:val="en-US" w:eastAsia="zh-CN"/>
        </w:rPr>
        <w:t>实操</w:t>
      </w:r>
      <w:r>
        <w:rPr>
          <w:rFonts w:hint="eastAsia" w:cs="仿宋"/>
          <w:sz w:val="32"/>
          <w:lang w:eastAsia="zh-CN"/>
        </w:rPr>
        <w:t>考核模块：</w:t>
      </w:r>
    </w:p>
    <w:p>
      <w:pPr>
        <w:pStyle w:val="5"/>
        <w:ind w:firstLine="640"/>
        <w:rPr>
          <w:rFonts w:hint="eastAsia" w:cs="仿宋"/>
          <w:sz w:val="32"/>
          <w:lang w:eastAsia="zh-CN"/>
        </w:rPr>
      </w:pPr>
      <w:r>
        <w:rPr>
          <w:rFonts w:hint="eastAsia" w:cs="仿宋"/>
          <w:sz w:val="32"/>
          <w:lang w:eastAsia="zh-CN"/>
        </w:rPr>
        <w:t>模块</w:t>
      </w:r>
      <w:r>
        <w:rPr>
          <w:rFonts w:hint="eastAsia" w:cs="仿宋"/>
          <w:kern w:val="2"/>
          <w:sz w:val="32"/>
          <w:lang w:val="en-AU" w:eastAsia="zh-CN"/>
        </w:rPr>
        <w:t>A</w:t>
      </w:r>
      <w:r>
        <w:rPr>
          <w:rFonts w:hint="eastAsia" w:cs="仿宋"/>
          <w:sz w:val="32"/>
          <w:lang w:eastAsia="zh-CN"/>
        </w:rPr>
        <w:t>：发动机管理系统故障诊断与维修；</w:t>
      </w:r>
    </w:p>
    <w:p>
      <w:pPr>
        <w:pStyle w:val="5"/>
        <w:ind w:firstLine="640"/>
        <w:rPr>
          <w:rFonts w:cs="仿宋"/>
          <w:sz w:val="32"/>
          <w:lang w:eastAsia="zh-CN"/>
        </w:rPr>
      </w:pPr>
      <w:r>
        <w:rPr>
          <w:rFonts w:hint="eastAsia" w:cs="仿宋"/>
          <w:sz w:val="32"/>
          <w:lang w:eastAsia="zh-CN"/>
        </w:rPr>
        <w:t>模块</w:t>
      </w:r>
      <w:r>
        <w:rPr>
          <w:rFonts w:hint="eastAsia" w:cs="仿宋"/>
          <w:kern w:val="2"/>
          <w:sz w:val="32"/>
          <w:lang w:val="en-US" w:eastAsia="zh-CN"/>
        </w:rPr>
        <w:t>B</w:t>
      </w:r>
      <w:r>
        <w:rPr>
          <w:rFonts w:hint="eastAsia" w:cs="仿宋"/>
          <w:sz w:val="32"/>
          <w:lang w:eastAsia="zh-CN"/>
        </w:rPr>
        <w:t>：车身电气系统故障诊断与维修。</w:t>
      </w:r>
    </w:p>
    <w:p>
      <w:pPr>
        <w:pStyle w:val="5"/>
        <w:ind w:firstLine="643"/>
        <w:rPr>
          <w:sz w:val="32"/>
          <w:lang w:eastAsia="zh-CN"/>
        </w:rPr>
      </w:pPr>
      <w:bookmarkStart w:id="9" w:name="2．试题命制的办法、基本流程及公布方式"/>
      <w:bookmarkEnd w:id="9"/>
      <w:r>
        <w:rPr>
          <w:b/>
          <w:bCs/>
          <w:sz w:val="32"/>
          <w:lang w:eastAsia="zh-CN"/>
        </w:rPr>
        <w:t>2</w:t>
      </w:r>
      <w:r>
        <w:rPr>
          <w:sz w:val="32"/>
          <w:lang w:eastAsia="zh-CN"/>
        </w:rPr>
        <w:t>．</w:t>
      </w:r>
      <w:r>
        <w:rPr>
          <w:rFonts w:hint="eastAsia"/>
          <w:sz w:val="32"/>
          <w:lang w:eastAsia="zh-CN"/>
        </w:rPr>
        <w:t>命题方式</w:t>
      </w:r>
    </w:p>
    <w:p>
      <w:pPr>
        <w:pStyle w:val="5"/>
        <w:ind w:firstLine="640"/>
        <w:rPr>
          <w:sz w:val="32"/>
          <w:lang w:eastAsia="zh-CN"/>
        </w:rPr>
      </w:pPr>
      <w:r>
        <w:rPr>
          <w:sz w:val="32"/>
          <w:lang w:eastAsia="zh-CN"/>
        </w:rPr>
        <w:t>由裁判长负责命题原则、内容、范围、程度及其评分标准要求，赛前命制比赛试题并验题。试题与评分标准对应考核模块的故障点或规范操作要点，评分标准的模式、框架、理念、要求等参照</w:t>
      </w:r>
      <w:r>
        <w:rPr>
          <w:rFonts w:hint="eastAsia"/>
          <w:sz w:val="32"/>
          <w:lang w:eastAsia="zh-CN"/>
        </w:rPr>
        <w:t>中华人民共和国职业技能大赛</w:t>
      </w:r>
      <w:r>
        <w:rPr>
          <w:rFonts w:hint="eastAsia"/>
          <w:sz w:val="32"/>
          <w:lang w:val="en-US" w:eastAsia="zh-CN"/>
        </w:rPr>
        <w:t>世赛选拔</w:t>
      </w:r>
      <w:r>
        <w:rPr>
          <w:rFonts w:hint="eastAsia"/>
          <w:sz w:val="32"/>
          <w:lang w:eastAsia="zh-CN"/>
        </w:rPr>
        <w:t>项目汽车</w:t>
      </w:r>
      <w:r>
        <w:rPr>
          <w:rFonts w:hint="eastAsia"/>
          <w:sz w:val="32"/>
          <w:lang w:val="en-US" w:eastAsia="zh-CN"/>
        </w:rPr>
        <w:t>技术</w:t>
      </w:r>
      <w:r>
        <w:rPr>
          <w:rFonts w:hint="eastAsia"/>
          <w:sz w:val="32"/>
          <w:lang w:eastAsia="zh-CN"/>
        </w:rPr>
        <w:t>赛项</w:t>
      </w:r>
      <w:r>
        <w:rPr>
          <w:sz w:val="32"/>
          <w:lang w:eastAsia="zh-CN"/>
        </w:rPr>
        <w:t>的评分标准执行。</w:t>
      </w:r>
    </w:p>
    <w:p>
      <w:pPr>
        <w:pStyle w:val="5"/>
        <w:ind w:firstLine="640"/>
        <w:rPr>
          <w:sz w:val="32"/>
          <w:lang w:eastAsia="zh-CN"/>
        </w:rPr>
      </w:pPr>
      <w:r>
        <w:rPr>
          <w:rFonts w:hint="eastAsia"/>
          <w:sz w:val="32"/>
          <w:lang w:eastAsia="zh-CN"/>
        </w:rPr>
        <w:t>3.命题</w:t>
      </w:r>
      <w:r>
        <w:rPr>
          <w:sz w:val="32"/>
          <w:lang w:eastAsia="zh-CN"/>
        </w:rPr>
        <w:t>题基本流程</w:t>
      </w:r>
    </w:p>
    <w:p>
      <w:pPr>
        <w:pStyle w:val="5"/>
        <w:ind w:firstLine="640"/>
        <w:rPr>
          <w:sz w:val="32"/>
          <w:lang w:eastAsia="zh-CN"/>
        </w:rPr>
      </w:pPr>
      <w:r>
        <w:rPr>
          <w:sz w:val="32"/>
          <w:lang w:eastAsia="zh-CN"/>
        </w:rPr>
        <w:t>裁判长完成比赛试题的具体命制与验证，包括根据比赛车型和机型，确定故障现象，设置具体故障点并予以验证、准确的电</w:t>
      </w:r>
      <w:r>
        <w:rPr>
          <w:rFonts w:hint="eastAsia"/>
          <w:sz w:val="32"/>
          <w:lang w:eastAsia="zh-CN"/>
        </w:rPr>
        <w:t>气</w:t>
      </w:r>
      <w:r>
        <w:rPr>
          <w:sz w:val="32"/>
          <w:lang w:eastAsia="zh-CN"/>
        </w:rPr>
        <w:t>参数测量、完成评分细则，同时验证各套比赛试题作业的难易程度和需要的标准工作时间等，最终确定每套题的比赛作业单、作业记录单、评分关键步骤等文档资料。</w:t>
      </w:r>
    </w:p>
    <w:p>
      <w:pPr>
        <w:pStyle w:val="5"/>
        <w:ind w:firstLine="640"/>
        <w:rPr>
          <w:sz w:val="32"/>
          <w:lang w:eastAsia="zh-CN"/>
        </w:rPr>
      </w:pPr>
      <w:r>
        <w:rPr>
          <w:sz w:val="32"/>
          <w:lang w:eastAsia="zh-CN"/>
        </w:rPr>
        <w:t>在比赛中</w:t>
      </w:r>
      <w:r>
        <w:rPr>
          <w:rFonts w:hint="eastAsia"/>
          <w:sz w:val="32"/>
          <w:lang w:eastAsia="zh-CN"/>
        </w:rPr>
        <w:t>，</w:t>
      </w:r>
      <w:r>
        <w:rPr>
          <w:sz w:val="32"/>
          <w:lang w:eastAsia="zh-CN"/>
        </w:rPr>
        <w:t>技术</w:t>
      </w:r>
      <w:r>
        <w:rPr>
          <w:rFonts w:hint="eastAsia"/>
          <w:sz w:val="32"/>
          <w:lang w:val="en-US" w:eastAsia="zh-CN"/>
        </w:rPr>
        <w:t>裁判员</w:t>
      </w:r>
      <w:r>
        <w:rPr>
          <w:sz w:val="32"/>
          <w:lang w:eastAsia="zh-CN"/>
        </w:rPr>
        <w:t>支持不参加现场</w:t>
      </w:r>
      <w:r>
        <w:rPr>
          <w:rFonts w:hint="eastAsia"/>
          <w:sz w:val="32"/>
          <w:lang w:val="en-US" w:eastAsia="zh-CN"/>
        </w:rPr>
        <w:t>执裁工作</w:t>
      </w:r>
      <w:r>
        <w:rPr>
          <w:sz w:val="32"/>
          <w:lang w:eastAsia="zh-CN"/>
        </w:rPr>
        <w:t>，负责每天赛前模块故障设置、试题验题、执裁指导、以及协助裁判长做好技术管理工作。</w:t>
      </w:r>
    </w:p>
    <w:p>
      <w:pPr>
        <w:pStyle w:val="5"/>
        <w:ind w:firstLine="640"/>
        <w:rPr>
          <w:sz w:val="32"/>
          <w:lang w:eastAsia="zh-CN"/>
        </w:rPr>
      </w:pPr>
      <w:r>
        <w:rPr>
          <w:rFonts w:hint="eastAsia"/>
          <w:sz w:val="32"/>
          <w:lang w:eastAsia="zh-CN"/>
        </w:rPr>
        <w:t>4.</w:t>
      </w:r>
      <w:r>
        <w:rPr>
          <w:sz w:val="32"/>
          <w:lang w:eastAsia="zh-CN"/>
        </w:rPr>
        <w:t>公布方式</w:t>
      </w:r>
    </w:p>
    <w:p>
      <w:pPr>
        <w:pStyle w:val="5"/>
        <w:ind w:firstLine="640"/>
        <w:rPr>
          <w:sz w:val="32"/>
          <w:lang w:eastAsia="zh-CN"/>
        </w:rPr>
      </w:pPr>
      <w:r>
        <w:rPr>
          <w:sz w:val="32"/>
          <w:lang w:eastAsia="zh-CN"/>
        </w:rPr>
        <w:t>试题范围与类型及其评分标准</w:t>
      </w:r>
      <w:r>
        <w:rPr>
          <w:rFonts w:hint="eastAsia"/>
          <w:sz w:val="32"/>
          <w:lang w:eastAsia="zh-CN"/>
        </w:rPr>
        <w:t>随技术文件</w:t>
      </w:r>
      <w:r>
        <w:rPr>
          <w:sz w:val="32"/>
          <w:lang w:eastAsia="zh-CN"/>
        </w:rPr>
        <w:t>公布</w:t>
      </w:r>
      <w:r>
        <w:rPr>
          <w:rFonts w:hint="eastAsia"/>
          <w:sz w:val="32"/>
          <w:lang w:eastAsia="zh-CN"/>
        </w:rPr>
        <w:t>（见附件）</w:t>
      </w:r>
      <w:r>
        <w:rPr>
          <w:sz w:val="32"/>
          <w:lang w:eastAsia="zh-CN"/>
        </w:rPr>
        <w:t>，公布的试题与评分标准仅包含作业内容范围、作业记录单模式，故障范围，不含具体故障点的内容。</w:t>
      </w:r>
    </w:p>
    <w:p>
      <w:pPr>
        <w:pStyle w:val="4"/>
        <w:ind w:firstLine="643"/>
        <w:rPr>
          <w:sz w:val="32"/>
          <w:lang w:eastAsia="zh-CN"/>
        </w:rPr>
      </w:pPr>
      <w:bookmarkStart w:id="10" w:name="（二）比赛时间及试题具体内容"/>
      <w:bookmarkEnd w:id="10"/>
      <w:bookmarkStart w:id="11" w:name="_Toc16736"/>
      <w:r>
        <w:rPr>
          <w:sz w:val="32"/>
          <w:lang w:eastAsia="zh-CN"/>
        </w:rPr>
        <w:t>（二）比赛时间及试题具体内容</w:t>
      </w:r>
      <w:bookmarkEnd w:id="11"/>
    </w:p>
    <w:p>
      <w:pPr>
        <w:pStyle w:val="5"/>
        <w:ind w:firstLine="643"/>
        <w:rPr>
          <w:sz w:val="32"/>
          <w:lang w:eastAsia="zh-CN"/>
        </w:rPr>
      </w:pPr>
      <w:bookmarkStart w:id="12" w:name="1．比赛时间安排"/>
      <w:bookmarkEnd w:id="12"/>
      <w:r>
        <w:rPr>
          <w:rFonts w:hint="eastAsia"/>
          <w:b/>
          <w:bCs/>
          <w:sz w:val="32"/>
          <w:lang w:eastAsia="zh-CN"/>
        </w:rPr>
        <w:t>1.</w:t>
      </w:r>
      <w:r>
        <w:rPr>
          <w:sz w:val="32"/>
          <w:lang w:eastAsia="zh-CN"/>
        </w:rPr>
        <w:t>比赛时间</w:t>
      </w:r>
    </w:p>
    <w:p>
      <w:pPr>
        <w:pStyle w:val="5"/>
        <w:ind w:firstLine="64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汽车技术项目理论考试：</w:t>
      </w:r>
      <w:bookmarkStart w:id="68" w:name="_GoBack"/>
      <w:bookmarkEnd w:id="68"/>
      <w:r>
        <w:rPr>
          <w:rFonts w:hint="eastAsia" w:ascii="Times New Roman" w:hAnsi="Times New Roman" w:eastAsia="仿宋_GB2312" w:cs="Times New Roman"/>
          <w:sz w:val="32"/>
          <w:szCs w:val="32"/>
          <w:lang w:val="en-US" w:eastAsia="zh-CN"/>
        </w:rPr>
        <w:t>取前30名进入实操比赛。</w:t>
      </w:r>
    </w:p>
    <w:p>
      <w:pPr>
        <w:pStyle w:val="5"/>
        <w:ind w:firstLine="640"/>
        <w:rPr>
          <w:sz w:val="32"/>
          <w:lang w:eastAsia="zh-CN"/>
        </w:rPr>
      </w:pPr>
      <w:r>
        <w:rPr>
          <w:rFonts w:hint="eastAsia"/>
          <w:sz w:val="32"/>
          <w:lang w:eastAsia="zh-CN"/>
        </w:rPr>
        <w:t>汽车</w:t>
      </w:r>
      <w:r>
        <w:rPr>
          <w:rFonts w:hint="eastAsia"/>
          <w:sz w:val="32"/>
          <w:lang w:val="en-US" w:eastAsia="zh-CN"/>
        </w:rPr>
        <w:t>技术</w:t>
      </w:r>
      <w:r>
        <w:rPr>
          <w:rFonts w:hint="eastAsia" w:cs="仿宋"/>
          <w:sz w:val="32"/>
          <w:lang w:eastAsia="zh-CN"/>
        </w:rPr>
        <w:t>项目</w:t>
      </w:r>
      <w:r>
        <w:rPr>
          <w:rFonts w:hint="eastAsia" w:cs="仿宋"/>
          <w:sz w:val="32"/>
          <w:lang w:val="en-US" w:eastAsia="zh-CN"/>
        </w:rPr>
        <w:t>实操</w:t>
      </w:r>
      <w:r>
        <w:rPr>
          <w:rFonts w:hint="eastAsia" w:cs="仿宋"/>
          <w:sz w:val="32"/>
          <w:lang w:eastAsia="zh-CN"/>
        </w:rPr>
        <w:t>比赛总时间为</w:t>
      </w:r>
      <w:r>
        <w:rPr>
          <w:rFonts w:hint="eastAsia" w:cs="仿宋"/>
          <w:kern w:val="2"/>
          <w:sz w:val="32"/>
          <w:lang w:val="en-US" w:eastAsia="zh-CN"/>
        </w:rPr>
        <w:t>90分钟</w:t>
      </w:r>
      <w:r>
        <w:rPr>
          <w:sz w:val="32"/>
          <w:lang w:eastAsia="zh-CN"/>
        </w:rPr>
        <w:t>，在</w:t>
      </w:r>
      <w:r>
        <w:rPr>
          <w:rFonts w:hint="eastAsia"/>
          <w:sz w:val="32"/>
          <w:lang w:val="en-US" w:eastAsia="zh-CN"/>
        </w:rPr>
        <w:t>2</w:t>
      </w:r>
      <w:r>
        <w:rPr>
          <w:sz w:val="32"/>
          <w:lang w:eastAsia="zh-CN"/>
        </w:rPr>
        <w:t>天内完成。各模块比赛时间和分数见</w:t>
      </w:r>
      <w:r>
        <w:rPr>
          <w:rFonts w:hint="eastAsia"/>
          <w:sz w:val="32"/>
          <w:lang w:eastAsia="zh-CN"/>
        </w:rPr>
        <w:t>下</w:t>
      </w:r>
      <w:r>
        <w:rPr>
          <w:sz w:val="32"/>
          <w:lang w:eastAsia="zh-CN"/>
        </w:rPr>
        <w:t>表。</w:t>
      </w:r>
    </w:p>
    <w:tbl>
      <w:tblPr>
        <w:tblStyle w:val="15"/>
        <w:tblW w:w="929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33"/>
        <w:gridCol w:w="3766"/>
        <w:gridCol w:w="1320"/>
        <w:gridCol w:w="1312"/>
        <w:gridCol w:w="14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433" w:type="dxa"/>
            <w:vAlign w:val="center"/>
          </w:tcPr>
          <w:p>
            <w:pPr>
              <w:pStyle w:val="19"/>
              <w:spacing w:before="91"/>
              <w:ind w:firstLine="0" w:firstLineChars="0"/>
              <w:jc w:val="center"/>
              <w:rPr>
                <w:rFonts w:ascii="宋体" w:hAnsi="宋体" w:eastAsia="宋体" w:cs="宋体"/>
                <w:sz w:val="24"/>
                <w:szCs w:val="24"/>
                <w:lang w:eastAsia="zh-CN"/>
              </w:rPr>
            </w:pPr>
            <w:r>
              <w:rPr>
                <w:rFonts w:hint="eastAsia" w:ascii="宋体" w:hAnsi="宋体" w:eastAsia="宋体" w:cs="宋体"/>
                <w:b/>
                <w:bCs/>
                <w:spacing w:val="2"/>
                <w:w w:val="99"/>
                <w:sz w:val="24"/>
                <w:szCs w:val="24"/>
              </w:rPr>
              <w:t>模</w:t>
            </w:r>
            <w:r>
              <w:rPr>
                <w:rFonts w:hint="eastAsia" w:ascii="宋体" w:hAnsi="宋体" w:eastAsia="宋体" w:cs="宋体"/>
                <w:b/>
                <w:bCs/>
                <w:w w:val="99"/>
                <w:sz w:val="24"/>
                <w:szCs w:val="24"/>
              </w:rPr>
              <w:t>块</w:t>
            </w:r>
            <w:r>
              <w:rPr>
                <w:rFonts w:hint="eastAsia" w:ascii="宋体" w:hAnsi="宋体" w:eastAsia="宋体" w:cs="宋体"/>
                <w:b/>
                <w:bCs/>
                <w:spacing w:val="2"/>
                <w:w w:val="99"/>
                <w:sz w:val="24"/>
                <w:szCs w:val="24"/>
              </w:rPr>
              <w:t>编</w:t>
            </w:r>
            <w:r>
              <w:rPr>
                <w:rFonts w:hint="eastAsia" w:ascii="宋体" w:hAnsi="宋体" w:eastAsia="宋体" w:cs="宋体"/>
                <w:b/>
                <w:bCs/>
                <w:w w:val="99"/>
                <w:sz w:val="24"/>
                <w:szCs w:val="24"/>
              </w:rPr>
              <w:t>号</w:t>
            </w:r>
          </w:p>
        </w:tc>
        <w:tc>
          <w:tcPr>
            <w:tcW w:w="3766" w:type="dxa"/>
            <w:vAlign w:val="center"/>
          </w:tcPr>
          <w:p>
            <w:pPr>
              <w:pStyle w:val="19"/>
              <w:spacing w:before="91"/>
              <w:ind w:right="3" w:firstLine="0" w:firstLineChars="0"/>
              <w:jc w:val="center"/>
              <w:rPr>
                <w:rFonts w:ascii="宋体" w:hAnsi="宋体" w:eastAsia="宋体" w:cs="宋体"/>
                <w:sz w:val="24"/>
                <w:szCs w:val="24"/>
                <w:lang w:eastAsia="zh-CN"/>
              </w:rPr>
            </w:pPr>
            <w:r>
              <w:rPr>
                <w:rFonts w:hint="eastAsia" w:ascii="宋体" w:hAnsi="宋体" w:eastAsia="宋体" w:cs="宋体"/>
                <w:b/>
                <w:bCs/>
                <w:spacing w:val="2"/>
                <w:w w:val="99"/>
                <w:sz w:val="24"/>
                <w:szCs w:val="24"/>
              </w:rPr>
              <w:t>模</w:t>
            </w:r>
            <w:r>
              <w:rPr>
                <w:rFonts w:hint="eastAsia" w:ascii="宋体" w:hAnsi="宋体" w:eastAsia="宋体" w:cs="宋体"/>
                <w:b/>
                <w:bCs/>
                <w:w w:val="99"/>
                <w:sz w:val="24"/>
                <w:szCs w:val="24"/>
              </w:rPr>
              <w:t>块</w:t>
            </w:r>
            <w:r>
              <w:rPr>
                <w:rFonts w:hint="eastAsia" w:ascii="宋体" w:hAnsi="宋体" w:eastAsia="宋体" w:cs="宋体"/>
                <w:b/>
                <w:bCs/>
                <w:spacing w:val="2"/>
                <w:w w:val="99"/>
                <w:sz w:val="24"/>
                <w:szCs w:val="24"/>
              </w:rPr>
              <w:t>名</w:t>
            </w:r>
            <w:r>
              <w:rPr>
                <w:rFonts w:hint="eastAsia" w:ascii="宋体" w:hAnsi="宋体" w:eastAsia="宋体" w:cs="宋体"/>
                <w:b/>
                <w:bCs/>
                <w:w w:val="99"/>
                <w:sz w:val="24"/>
                <w:szCs w:val="24"/>
              </w:rPr>
              <w:t>称</w:t>
            </w:r>
          </w:p>
        </w:tc>
        <w:tc>
          <w:tcPr>
            <w:tcW w:w="1320" w:type="dxa"/>
            <w:vAlign w:val="center"/>
          </w:tcPr>
          <w:p>
            <w:pPr>
              <w:pStyle w:val="19"/>
              <w:spacing w:before="41"/>
              <w:ind w:firstLine="0" w:firstLineChars="0"/>
              <w:jc w:val="center"/>
              <w:rPr>
                <w:rFonts w:hint="eastAsia" w:ascii="宋体" w:hAnsi="宋体" w:eastAsia="宋体" w:cs="宋体"/>
                <w:sz w:val="24"/>
                <w:szCs w:val="24"/>
                <w:lang w:eastAsia="zh-CN"/>
              </w:rPr>
            </w:pPr>
            <w:r>
              <w:rPr>
                <w:rFonts w:hint="eastAsia" w:ascii="宋体" w:hAnsi="宋体" w:eastAsia="宋体" w:cs="宋体"/>
                <w:b/>
                <w:bCs/>
                <w:spacing w:val="2"/>
                <w:w w:val="99"/>
                <w:sz w:val="24"/>
                <w:szCs w:val="24"/>
              </w:rPr>
              <w:t>比</w:t>
            </w:r>
            <w:r>
              <w:rPr>
                <w:rFonts w:hint="eastAsia" w:ascii="宋体" w:hAnsi="宋体" w:eastAsia="宋体" w:cs="宋体"/>
                <w:b/>
                <w:bCs/>
                <w:w w:val="99"/>
                <w:sz w:val="24"/>
                <w:szCs w:val="24"/>
              </w:rPr>
              <w:t>赛</w:t>
            </w:r>
            <w:r>
              <w:rPr>
                <w:rFonts w:hint="eastAsia" w:ascii="宋体" w:hAnsi="宋体" w:eastAsia="宋体" w:cs="宋体"/>
                <w:b/>
                <w:bCs/>
                <w:spacing w:val="2"/>
                <w:w w:val="99"/>
                <w:sz w:val="24"/>
                <w:szCs w:val="24"/>
              </w:rPr>
              <w:t>时</w:t>
            </w:r>
            <w:r>
              <w:rPr>
                <w:rFonts w:hint="eastAsia" w:ascii="宋体" w:hAnsi="宋体" w:eastAsia="宋体" w:cs="宋体"/>
                <w:b/>
                <w:bCs/>
                <w:spacing w:val="2"/>
                <w:w w:val="99"/>
                <w:sz w:val="24"/>
                <w:szCs w:val="24"/>
                <w:lang w:val="en-US" w:eastAsia="zh-CN"/>
              </w:rPr>
              <w:t>长</w:t>
            </w:r>
          </w:p>
        </w:tc>
        <w:tc>
          <w:tcPr>
            <w:tcW w:w="1312" w:type="dxa"/>
            <w:vAlign w:val="center"/>
          </w:tcPr>
          <w:p>
            <w:pPr>
              <w:pStyle w:val="19"/>
              <w:spacing w:before="91"/>
              <w:ind w:firstLine="0" w:firstLineChars="0"/>
              <w:jc w:val="center"/>
              <w:rPr>
                <w:rFonts w:ascii="宋体" w:hAnsi="宋体" w:eastAsia="宋体" w:cs="宋体"/>
                <w:sz w:val="24"/>
                <w:szCs w:val="24"/>
                <w:lang w:eastAsia="zh-CN"/>
              </w:rPr>
            </w:pPr>
            <w:r>
              <w:rPr>
                <w:rFonts w:hint="eastAsia" w:ascii="宋体" w:hAnsi="宋体" w:eastAsia="宋体" w:cs="宋体"/>
                <w:b/>
                <w:bCs/>
                <w:spacing w:val="2"/>
                <w:w w:val="99"/>
                <w:sz w:val="24"/>
                <w:szCs w:val="24"/>
                <w:lang w:val="en-US" w:eastAsia="zh-CN"/>
              </w:rPr>
              <w:t>原始</w:t>
            </w:r>
            <w:r>
              <w:rPr>
                <w:rFonts w:hint="eastAsia" w:ascii="宋体" w:hAnsi="宋体" w:eastAsia="宋体" w:cs="宋体"/>
                <w:b/>
                <w:bCs/>
                <w:spacing w:val="2"/>
                <w:w w:val="99"/>
                <w:sz w:val="24"/>
                <w:szCs w:val="24"/>
              </w:rPr>
              <w:t>分数</w:t>
            </w:r>
          </w:p>
        </w:tc>
        <w:tc>
          <w:tcPr>
            <w:tcW w:w="1461" w:type="dxa"/>
            <w:vAlign w:val="center"/>
          </w:tcPr>
          <w:p>
            <w:pPr>
              <w:pStyle w:val="19"/>
              <w:spacing w:before="91"/>
              <w:ind w:firstLine="0" w:firstLineChars="0"/>
              <w:jc w:val="center"/>
              <w:rPr>
                <w:rFonts w:hint="eastAsia" w:ascii="宋体" w:hAnsi="宋体" w:eastAsia="宋体" w:cs="宋体"/>
                <w:b/>
                <w:bCs/>
                <w:spacing w:val="2"/>
                <w:w w:val="99"/>
                <w:sz w:val="24"/>
                <w:szCs w:val="24"/>
                <w:lang w:val="en-US" w:eastAsia="zh-CN"/>
              </w:rPr>
            </w:pPr>
            <w:r>
              <w:rPr>
                <w:rFonts w:hint="eastAsia" w:ascii="宋体" w:hAnsi="宋体" w:eastAsia="宋体" w:cs="宋体"/>
                <w:b/>
                <w:bCs/>
                <w:spacing w:val="2"/>
                <w:w w:val="99"/>
                <w:sz w:val="24"/>
                <w:szCs w:val="24"/>
                <w:lang w:val="en-US" w:eastAsia="zh-CN"/>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433" w:type="dxa"/>
            <w:vAlign w:val="center"/>
          </w:tcPr>
          <w:p>
            <w:pPr>
              <w:pStyle w:val="19"/>
              <w:spacing w:before="143"/>
              <w:ind w:right="1" w:firstLine="0" w:firstLineChars="0"/>
              <w:jc w:val="center"/>
              <w:rPr>
                <w:rFonts w:hint="eastAsia" w:ascii="宋体" w:hAnsi="宋体" w:eastAsia="宋体" w:cs="宋体"/>
                <w:sz w:val="24"/>
                <w:szCs w:val="24"/>
              </w:rPr>
            </w:pPr>
          </w:p>
        </w:tc>
        <w:tc>
          <w:tcPr>
            <w:tcW w:w="3766" w:type="dxa"/>
            <w:vAlign w:val="center"/>
          </w:tcPr>
          <w:p>
            <w:pPr>
              <w:pStyle w:val="19"/>
              <w:spacing w:before="89"/>
              <w:ind w:firstLine="0" w:firstLineChars="0"/>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理论考试</w:t>
            </w:r>
          </w:p>
        </w:tc>
        <w:tc>
          <w:tcPr>
            <w:tcW w:w="1320" w:type="dxa"/>
            <w:vAlign w:val="center"/>
          </w:tcPr>
          <w:p>
            <w:pPr>
              <w:pStyle w:val="19"/>
              <w:spacing w:before="89"/>
              <w:ind w:firstLine="0" w:firstLineChars="0"/>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60分钟</w:t>
            </w:r>
          </w:p>
        </w:tc>
        <w:tc>
          <w:tcPr>
            <w:tcW w:w="1312" w:type="dxa"/>
            <w:vAlign w:val="center"/>
          </w:tcPr>
          <w:p>
            <w:pPr>
              <w:pStyle w:val="19"/>
              <w:spacing w:before="143"/>
              <w:ind w:firstLine="0" w:firstLineChars="0"/>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100</w:t>
            </w:r>
          </w:p>
        </w:tc>
        <w:tc>
          <w:tcPr>
            <w:tcW w:w="1461" w:type="dxa"/>
            <w:vAlign w:val="center"/>
          </w:tcPr>
          <w:p>
            <w:pPr>
              <w:pStyle w:val="19"/>
              <w:spacing w:before="143"/>
              <w:ind w:firstLine="0" w:firstLineChars="0"/>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433" w:type="dxa"/>
            <w:vAlign w:val="center"/>
          </w:tcPr>
          <w:p>
            <w:pPr>
              <w:pStyle w:val="19"/>
              <w:spacing w:before="143"/>
              <w:ind w:right="1" w:firstLine="0" w:firstLineChars="0"/>
              <w:jc w:val="center"/>
              <w:rPr>
                <w:rFonts w:ascii="宋体" w:hAnsi="宋体" w:eastAsia="宋体" w:cs="宋体"/>
                <w:sz w:val="24"/>
                <w:szCs w:val="24"/>
                <w:lang w:eastAsia="zh-CN"/>
              </w:rPr>
            </w:pPr>
            <w:r>
              <w:rPr>
                <w:rFonts w:hint="eastAsia" w:ascii="宋体" w:hAnsi="宋体" w:eastAsia="宋体" w:cs="宋体"/>
                <w:sz w:val="24"/>
                <w:szCs w:val="24"/>
              </w:rPr>
              <w:t>A</w:t>
            </w:r>
          </w:p>
        </w:tc>
        <w:tc>
          <w:tcPr>
            <w:tcW w:w="3766" w:type="dxa"/>
            <w:vAlign w:val="center"/>
          </w:tcPr>
          <w:p>
            <w:pPr>
              <w:pStyle w:val="19"/>
              <w:spacing w:before="89"/>
              <w:ind w:firstLine="0" w:firstLineChars="0"/>
              <w:jc w:val="center"/>
              <w:rPr>
                <w:rFonts w:ascii="宋体" w:hAnsi="宋体" w:eastAsia="宋体" w:cs="宋体"/>
                <w:sz w:val="24"/>
                <w:szCs w:val="24"/>
                <w:lang w:eastAsia="zh-CN"/>
              </w:rPr>
            </w:pPr>
            <w:r>
              <w:rPr>
                <w:rFonts w:hint="eastAsia" w:ascii="宋体" w:hAnsi="宋体" w:eastAsia="宋体" w:cs="宋体"/>
                <w:sz w:val="24"/>
                <w:szCs w:val="24"/>
                <w:lang w:eastAsia="zh-CN"/>
              </w:rPr>
              <w:t>发动机管理系统故障诊断与维修</w:t>
            </w:r>
          </w:p>
        </w:tc>
        <w:tc>
          <w:tcPr>
            <w:tcW w:w="1320" w:type="dxa"/>
            <w:vAlign w:val="center"/>
          </w:tcPr>
          <w:p>
            <w:pPr>
              <w:pStyle w:val="19"/>
              <w:spacing w:before="89"/>
              <w:ind w:firstLine="0" w:firstLineChars="0"/>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45分钟</w:t>
            </w:r>
          </w:p>
        </w:tc>
        <w:tc>
          <w:tcPr>
            <w:tcW w:w="1312" w:type="dxa"/>
            <w:vAlign w:val="center"/>
          </w:tcPr>
          <w:p>
            <w:pPr>
              <w:pStyle w:val="19"/>
              <w:spacing w:before="143"/>
              <w:ind w:firstLine="0" w:firstLineChars="0"/>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100</w:t>
            </w:r>
          </w:p>
        </w:tc>
        <w:tc>
          <w:tcPr>
            <w:tcW w:w="1461" w:type="dxa"/>
            <w:vAlign w:val="center"/>
          </w:tcPr>
          <w:p>
            <w:pPr>
              <w:pStyle w:val="19"/>
              <w:spacing w:before="143"/>
              <w:ind w:firstLine="0" w:firstLineChars="0"/>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433" w:type="dxa"/>
            <w:vAlign w:val="center"/>
          </w:tcPr>
          <w:p>
            <w:pPr>
              <w:pStyle w:val="19"/>
              <w:spacing w:before="146"/>
              <w:ind w:right="3" w:firstLine="0" w:firstLineChars="0"/>
              <w:jc w:val="center"/>
              <w:rPr>
                <w:rFonts w:hint="eastAsia" w:ascii="宋体" w:hAnsi="宋体" w:eastAsia="宋体" w:cs="宋体"/>
                <w:sz w:val="24"/>
                <w:szCs w:val="24"/>
                <w:lang w:eastAsia="zh-CN"/>
              </w:rPr>
            </w:pPr>
            <w:r>
              <w:rPr>
                <w:rFonts w:hint="eastAsia" w:ascii="宋体" w:hAnsi="宋体" w:eastAsia="宋体" w:cs="宋体"/>
                <w:sz w:val="24"/>
                <w:szCs w:val="24"/>
                <w:lang w:val="en-US" w:eastAsia="zh-CN"/>
              </w:rPr>
              <w:t>B</w:t>
            </w:r>
          </w:p>
        </w:tc>
        <w:tc>
          <w:tcPr>
            <w:tcW w:w="3766" w:type="dxa"/>
            <w:vAlign w:val="center"/>
          </w:tcPr>
          <w:p>
            <w:pPr>
              <w:pStyle w:val="19"/>
              <w:spacing w:before="92"/>
              <w:ind w:firstLine="0" w:firstLineChars="0"/>
              <w:jc w:val="center"/>
              <w:rPr>
                <w:rFonts w:ascii="宋体" w:hAnsi="宋体" w:eastAsia="宋体" w:cs="宋体"/>
                <w:sz w:val="24"/>
                <w:szCs w:val="24"/>
                <w:lang w:eastAsia="zh-CN"/>
              </w:rPr>
            </w:pPr>
            <w:r>
              <w:rPr>
                <w:rFonts w:hint="eastAsia" w:ascii="宋体" w:hAnsi="宋体" w:eastAsia="宋体" w:cs="宋体"/>
                <w:sz w:val="24"/>
                <w:szCs w:val="24"/>
                <w:lang w:eastAsia="zh-CN"/>
              </w:rPr>
              <w:t>车身电气系统故障诊断与维修</w:t>
            </w:r>
          </w:p>
        </w:tc>
        <w:tc>
          <w:tcPr>
            <w:tcW w:w="1320" w:type="dxa"/>
            <w:vAlign w:val="center"/>
          </w:tcPr>
          <w:p>
            <w:pPr>
              <w:pStyle w:val="19"/>
              <w:spacing w:before="89"/>
              <w:ind w:firstLine="0" w:firstLineChars="0"/>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45分钟</w:t>
            </w:r>
          </w:p>
        </w:tc>
        <w:tc>
          <w:tcPr>
            <w:tcW w:w="1312" w:type="dxa"/>
            <w:vAlign w:val="center"/>
          </w:tcPr>
          <w:p>
            <w:pPr>
              <w:pStyle w:val="19"/>
              <w:spacing w:before="146"/>
              <w:ind w:firstLine="0" w:firstLineChars="0"/>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100</w:t>
            </w:r>
          </w:p>
        </w:tc>
        <w:tc>
          <w:tcPr>
            <w:tcW w:w="1461" w:type="dxa"/>
            <w:vAlign w:val="center"/>
          </w:tcPr>
          <w:p>
            <w:pPr>
              <w:pStyle w:val="19"/>
              <w:spacing w:before="146"/>
              <w:ind w:firstLine="0" w:firstLineChars="0"/>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433" w:type="dxa"/>
          </w:tcPr>
          <w:p>
            <w:pPr>
              <w:pStyle w:val="19"/>
              <w:spacing w:before="91"/>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合计</w:t>
            </w:r>
          </w:p>
        </w:tc>
        <w:tc>
          <w:tcPr>
            <w:tcW w:w="3766" w:type="dxa"/>
            <w:vAlign w:val="center"/>
          </w:tcPr>
          <w:p>
            <w:pPr>
              <w:pStyle w:val="19"/>
              <w:spacing w:before="91"/>
              <w:ind w:firstLine="0" w:firstLineChars="0"/>
              <w:jc w:val="center"/>
              <w:rPr>
                <w:rFonts w:ascii="宋体" w:hAnsi="宋体" w:eastAsia="宋体" w:cs="宋体"/>
                <w:sz w:val="24"/>
                <w:szCs w:val="24"/>
                <w:lang w:eastAsia="zh-CN"/>
              </w:rPr>
            </w:pPr>
          </w:p>
        </w:tc>
        <w:tc>
          <w:tcPr>
            <w:tcW w:w="1320" w:type="dxa"/>
            <w:vAlign w:val="center"/>
          </w:tcPr>
          <w:p>
            <w:pPr>
              <w:pStyle w:val="19"/>
              <w:spacing w:before="91"/>
              <w:ind w:firstLine="0" w:firstLineChars="0"/>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90分钟</w:t>
            </w:r>
          </w:p>
        </w:tc>
        <w:tc>
          <w:tcPr>
            <w:tcW w:w="1312" w:type="dxa"/>
            <w:vAlign w:val="center"/>
          </w:tcPr>
          <w:p>
            <w:pPr>
              <w:pStyle w:val="19"/>
              <w:spacing w:before="145"/>
              <w:ind w:firstLine="0" w:firstLineChars="0"/>
              <w:jc w:val="center"/>
              <w:rPr>
                <w:rFonts w:ascii="宋体" w:hAnsi="宋体" w:eastAsia="宋体" w:cs="宋体"/>
                <w:sz w:val="24"/>
                <w:szCs w:val="24"/>
                <w:lang w:eastAsia="zh-CN"/>
              </w:rPr>
            </w:pPr>
          </w:p>
        </w:tc>
        <w:tc>
          <w:tcPr>
            <w:tcW w:w="1461" w:type="dxa"/>
            <w:vAlign w:val="center"/>
          </w:tcPr>
          <w:p>
            <w:pPr>
              <w:pStyle w:val="19"/>
              <w:spacing w:before="145"/>
              <w:ind w:firstLine="0" w:firstLineChars="0"/>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100%</w:t>
            </w:r>
          </w:p>
        </w:tc>
      </w:tr>
    </w:tbl>
    <w:p>
      <w:pPr>
        <w:pStyle w:val="5"/>
        <w:ind w:firstLine="643"/>
        <w:rPr>
          <w:sz w:val="32"/>
          <w:lang w:eastAsia="zh-CN"/>
        </w:rPr>
      </w:pPr>
      <w:bookmarkStart w:id="13" w:name="2．试题内容"/>
      <w:bookmarkEnd w:id="13"/>
      <w:r>
        <w:rPr>
          <w:b/>
          <w:bCs/>
          <w:sz w:val="32"/>
          <w:lang w:eastAsia="zh-CN"/>
        </w:rPr>
        <w:t>2</w:t>
      </w:r>
      <w:r>
        <w:rPr>
          <w:sz w:val="32"/>
          <w:lang w:eastAsia="zh-CN"/>
        </w:rPr>
        <w:t>．试题</w:t>
      </w:r>
      <w:r>
        <w:rPr>
          <w:rFonts w:hint="eastAsia"/>
          <w:sz w:val="32"/>
          <w:lang w:eastAsia="zh-CN"/>
        </w:rPr>
        <w:t>具体</w:t>
      </w:r>
      <w:r>
        <w:rPr>
          <w:sz w:val="32"/>
          <w:lang w:eastAsia="zh-CN"/>
        </w:rPr>
        <w:t>内容</w:t>
      </w:r>
    </w:p>
    <w:p>
      <w:pPr>
        <w:pStyle w:val="5"/>
        <w:ind w:firstLine="640"/>
        <w:rPr>
          <w:rFonts w:cs="仿宋"/>
          <w:sz w:val="32"/>
          <w:lang w:eastAsia="zh-CN"/>
        </w:rPr>
      </w:pPr>
      <w:r>
        <w:rPr>
          <w:sz w:val="32"/>
          <w:lang w:eastAsia="zh-CN"/>
        </w:rPr>
        <w:t>（</w:t>
      </w:r>
      <w:r>
        <w:rPr>
          <w:rFonts w:hint="eastAsia"/>
          <w:sz w:val="32"/>
          <w:lang w:val="en-US" w:eastAsia="zh-CN"/>
        </w:rPr>
        <w:t>1</w:t>
      </w:r>
      <w:r>
        <w:rPr>
          <w:sz w:val="32"/>
          <w:lang w:eastAsia="zh-CN"/>
        </w:rPr>
        <w:t>）</w:t>
      </w:r>
      <w:r>
        <w:rPr>
          <w:rFonts w:hint="eastAsia" w:cs="仿宋"/>
          <w:sz w:val="32"/>
          <w:lang w:val="en-US" w:eastAsia="zh-CN"/>
        </w:rPr>
        <w:t>理论考试</w:t>
      </w:r>
    </w:p>
    <w:p>
      <w:pPr>
        <w:pStyle w:val="5"/>
        <w:ind w:firstLine="64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理论考试试题，题型为选择题和判断题，共计100道题，其中单选题80道，判断题20道，考试方式为闭卷考试。</w:t>
      </w:r>
    </w:p>
    <w:p>
      <w:pPr>
        <w:pStyle w:val="5"/>
        <w:ind w:firstLine="640"/>
        <w:rPr>
          <w:rFonts w:hint="eastAsia"/>
          <w:sz w:val="32"/>
          <w:lang w:val="en-US" w:eastAsia="zh-CN"/>
        </w:rPr>
      </w:pPr>
      <w:r>
        <w:rPr>
          <w:sz w:val="32"/>
          <w:lang w:eastAsia="zh-CN"/>
        </w:rPr>
        <w:t>（</w:t>
      </w:r>
      <w:r>
        <w:rPr>
          <w:rFonts w:hint="eastAsia"/>
          <w:sz w:val="32"/>
          <w:lang w:val="en-US" w:eastAsia="zh-CN"/>
        </w:rPr>
        <w:t>2</w:t>
      </w:r>
      <w:r>
        <w:rPr>
          <w:sz w:val="32"/>
          <w:lang w:eastAsia="zh-CN"/>
        </w:rPr>
        <w:t>）</w:t>
      </w:r>
      <w:r>
        <w:rPr>
          <w:rFonts w:hint="eastAsia"/>
          <w:sz w:val="32"/>
          <w:lang w:val="en-US" w:eastAsia="zh-CN"/>
        </w:rPr>
        <w:t>实操考核：</w:t>
      </w:r>
    </w:p>
    <w:p>
      <w:pPr>
        <w:pStyle w:val="5"/>
        <w:ind w:firstLine="640"/>
        <w:rPr>
          <w:rFonts w:cs="仿宋"/>
          <w:sz w:val="32"/>
          <w:lang w:eastAsia="zh-CN"/>
        </w:rPr>
      </w:pPr>
      <w:r>
        <w:rPr>
          <w:rFonts w:hint="eastAsia" w:cs="仿宋"/>
          <w:sz w:val="32"/>
          <w:lang w:eastAsia="zh-CN"/>
        </w:rPr>
        <w:t>模块</w:t>
      </w:r>
      <w:r>
        <w:rPr>
          <w:rFonts w:hint="eastAsia" w:cs="仿宋"/>
          <w:kern w:val="2"/>
          <w:sz w:val="32"/>
          <w:lang w:eastAsia="zh-CN"/>
        </w:rPr>
        <w:t>A</w:t>
      </w:r>
      <w:r>
        <w:rPr>
          <w:rFonts w:hint="eastAsia" w:cs="仿宋"/>
          <w:sz w:val="32"/>
          <w:lang w:eastAsia="zh-CN"/>
        </w:rPr>
        <w:t>：发动机管理系统故障诊断与维修</w:t>
      </w:r>
    </w:p>
    <w:p>
      <w:pPr>
        <w:pStyle w:val="5"/>
        <w:ind w:firstLine="640"/>
        <w:rPr>
          <w:rFonts w:cs="仿宋"/>
          <w:sz w:val="32"/>
          <w:lang w:eastAsia="zh-CN"/>
        </w:rPr>
      </w:pPr>
      <w:r>
        <w:rPr>
          <w:rFonts w:hint="eastAsia" w:cs="仿宋"/>
          <w:sz w:val="32"/>
          <w:lang w:eastAsia="zh-CN"/>
        </w:rPr>
        <w:t>发动机管理系统故障诊断与维修包括：发动机不能起动故障的诊断与排除；发动机运行不良故障的诊断与排除；示波器动态数据测量与分析。</w:t>
      </w:r>
    </w:p>
    <w:p>
      <w:pPr>
        <w:pStyle w:val="5"/>
        <w:ind w:firstLine="640"/>
        <w:rPr>
          <w:rFonts w:cs="仿宋"/>
          <w:sz w:val="32"/>
          <w:lang w:eastAsia="zh-CN"/>
        </w:rPr>
      </w:pPr>
      <w:r>
        <w:rPr>
          <w:rFonts w:hint="eastAsia" w:cs="仿宋"/>
          <w:sz w:val="32"/>
          <w:lang w:eastAsia="zh-CN"/>
        </w:rPr>
        <w:t>不包括：燃油箱，喷油器维修；需要燃油系统暴露在外的操作；涉及冷却液的操作。</w:t>
      </w:r>
    </w:p>
    <w:p>
      <w:pPr>
        <w:pStyle w:val="5"/>
        <w:ind w:firstLine="640"/>
        <w:rPr>
          <w:rFonts w:cs="仿宋"/>
          <w:sz w:val="32"/>
          <w:lang w:eastAsia="zh-CN"/>
        </w:rPr>
      </w:pPr>
      <w:r>
        <w:rPr>
          <w:rFonts w:hint="eastAsia" w:cs="仿宋"/>
          <w:sz w:val="32"/>
          <w:lang w:eastAsia="zh-CN"/>
        </w:rPr>
        <w:t>模块</w:t>
      </w:r>
      <w:r>
        <w:rPr>
          <w:rFonts w:hint="eastAsia" w:cs="仿宋"/>
          <w:kern w:val="2"/>
          <w:sz w:val="32"/>
          <w:lang w:val="en-US" w:eastAsia="zh-CN"/>
        </w:rPr>
        <w:t>B</w:t>
      </w:r>
      <w:r>
        <w:rPr>
          <w:rFonts w:hint="eastAsia" w:cs="仿宋"/>
          <w:sz w:val="32"/>
          <w:lang w:eastAsia="zh-CN"/>
        </w:rPr>
        <w:t>：车身电气系统故障诊断与维修</w:t>
      </w:r>
    </w:p>
    <w:p>
      <w:pPr>
        <w:pStyle w:val="5"/>
        <w:ind w:firstLine="640"/>
        <w:rPr>
          <w:rFonts w:cs="仿宋"/>
          <w:sz w:val="32"/>
          <w:lang w:eastAsia="zh-CN"/>
        </w:rPr>
      </w:pPr>
      <w:r>
        <w:rPr>
          <w:rFonts w:hint="eastAsia" w:cs="仿宋"/>
          <w:sz w:val="32"/>
          <w:lang w:eastAsia="zh-CN"/>
        </w:rPr>
        <w:t>车身电气系统故障诊断与维修包括：电源系统、仪表与警告装置、车载网络系统、灯光系统、雨刮、喇叭等基本配置、车窗、门锁、后视镜便捷</w:t>
      </w:r>
      <w:r>
        <w:rPr>
          <w:rFonts w:hint="eastAsia" w:cs="仿宋"/>
          <w:sz w:val="32"/>
          <w:lang w:val="en-US" w:eastAsia="zh-CN"/>
        </w:rPr>
        <w:t>系统</w:t>
      </w:r>
      <w:r>
        <w:rPr>
          <w:rFonts w:hint="eastAsia" w:ascii="仿宋" w:hAnsi="仿宋" w:eastAsia="仿宋" w:cs="仿宋"/>
          <w:spacing w:val="13"/>
          <w:sz w:val="32"/>
          <w:szCs w:val="32"/>
          <w:lang w:val="en-US" w:eastAsia="zh-CN"/>
        </w:rPr>
        <w:t>等</w:t>
      </w:r>
      <w:r>
        <w:rPr>
          <w:rFonts w:hint="eastAsia" w:cs="仿宋"/>
          <w:sz w:val="32"/>
          <w:lang w:eastAsia="zh-CN"/>
        </w:rPr>
        <w:t>。</w:t>
      </w:r>
    </w:p>
    <w:p>
      <w:pPr>
        <w:pStyle w:val="5"/>
        <w:ind w:firstLine="640"/>
        <w:rPr>
          <w:sz w:val="32"/>
          <w:lang w:eastAsia="zh-CN"/>
        </w:rPr>
      </w:pPr>
      <w:r>
        <w:rPr>
          <w:rFonts w:hint="eastAsia" w:cs="仿宋"/>
          <w:sz w:val="32"/>
          <w:lang w:eastAsia="zh-CN"/>
        </w:rPr>
        <w:t>不包括：安全气囊和安全带系统；</w:t>
      </w:r>
      <w:r>
        <w:rPr>
          <w:sz w:val="32"/>
          <w:lang w:eastAsia="zh-CN"/>
        </w:rPr>
        <w:t>防盗系统；涉及制冷剂的操作；涉及冷却液的操作。</w:t>
      </w:r>
    </w:p>
    <w:p>
      <w:pPr>
        <w:pStyle w:val="4"/>
        <w:ind w:firstLine="643"/>
        <w:rPr>
          <w:sz w:val="32"/>
          <w:lang w:eastAsia="zh-CN"/>
        </w:rPr>
      </w:pPr>
      <w:bookmarkStart w:id="14" w:name="（三）评判标准"/>
      <w:bookmarkEnd w:id="14"/>
      <w:bookmarkStart w:id="15" w:name="_Toc2290"/>
      <w:r>
        <w:rPr>
          <w:sz w:val="32"/>
          <w:lang w:eastAsia="zh-CN"/>
        </w:rPr>
        <w:t>（三）评判标准</w:t>
      </w:r>
      <w:bookmarkEnd w:id="15"/>
    </w:p>
    <w:p>
      <w:pPr>
        <w:pStyle w:val="5"/>
        <w:ind w:firstLine="640"/>
        <w:rPr>
          <w:sz w:val="32"/>
          <w:lang w:eastAsia="zh-CN"/>
        </w:rPr>
      </w:pPr>
      <w:bookmarkStart w:id="16" w:name="5.1_评判流程"/>
      <w:bookmarkEnd w:id="16"/>
      <w:bookmarkStart w:id="17" w:name="1．分数权重"/>
      <w:bookmarkEnd w:id="17"/>
      <w:r>
        <w:rPr>
          <w:rFonts w:hint="eastAsia"/>
          <w:sz w:val="32"/>
          <w:lang w:eastAsia="zh-CN"/>
        </w:rPr>
        <w:t>1.分数权重</w:t>
      </w:r>
    </w:p>
    <w:p>
      <w:pPr>
        <w:pStyle w:val="5"/>
        <w:ind w:firstLine="640"/>
        <w:rPr>
          <w:sz w:val="32"/>
          <w:lang w:eastAsia="zh-CN"/>
        </w:rPr>
      </w:pPr>
      <w:r>
        <w:rPr>
          <w:rFonts w:hint="eastAsia"/>
          <w:sz w:val="32"/>
          <w:lang w:eastAsia="zh-CN"/>
        </w:rPr>
        <w:t>各模块分数权重下表。</w:t>
      </w:r>
    </w:p>
    <w:tbl>
      <w:tblPr>
        <w:tblStyle w:val="15"/>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0"/>
        <w:gridCol w:w="4932"/>
        <w:gridCol w:w="1047"/>
        <w:gridCol w:w="1060"/>
        <w:gridCol w:w="9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5" w:type="pct"/>
            <w:vMerge w:val="restart"/>
            <w:vAlign w:val="center"/>
          </w:tcPr>
          <w:p>
            <w:pPr>
              <w:pStyle w:val="19"/>
              <w:spacing w:before="91"/>
              <w:ind w:firstLine="0" w:firstLineChars="0"/>
              <w:jc w:val="center"/>
              <w:rPr>
                <w:rFonts w:ascii="宋体" w:hAnsi="宋体" w:eastAsia="宋体" w:cs="宋体"/>
                <w:b/>
                <w:bCs/>
                <w:spacing w:val="2"/>
                <w:w w:val="99"/>
                <w:sz w:val="24"/>
                <w:szCs w:val="24"/>
                <w:lang w:eastAsia="zh-CN"/>
              </w:rPr>
            </w:pPr>
            <w:r>
              <w:rPr>
                <w:rFonts w:hint="eastAsia" w:ascii="宋体" w:hAnsi="宋体" w:eastAsia="宋体" w:cs="宋体"/>
                <w:b/>
                <w:bCs/>
                <w:spacing w:val="2"/>
                <w:w w:val="99"/>
                <w:sz w:val="24"/>
                <w:szCs w:val="24"/>
                <w:lang w:eastAsia="zh-CN"/>
              </w:rPr>
              <w:t>模块编号</w:t>
            </w:r>
          </w:p>
        </w:tc>
        <w:tc>
          <w:tcPr>
            <w:tcW w:w="2655" w:type="pct"/>
            <w:vMerge w:val="restart"/>
            <w:vAlign w:val="center"/>
          </w:tcPr>
          <w:p>
            <w:pPr>
              <w:pStyle w:val="19"/>
              <w:spacing w:before="91"/>
              <w:ind w:firstLine="0" w:firstLineChars="0"/>
              <w:jc w:val="center"/>
              <w:rPr>
                <w:rFonts w:ascii="宋体" w:hAnsi="宋体" w:eastAsia="宋体" w:cs="宋体"/>
                <w:b/>
                <w:bCs/>
                <w:spacing w:val="2"/>
                <w:w w:val="99"/>
                <w:sz w:val="24"/>
                <w:szCs w:val="24"/>
                <w:lang w:eastAsia="zh-CN"/>
              </w:rPr>
            </w:pPr>
            <w:r>
              <w:rPr>
                <w:rFonts w:hint="eastAsia" w:ascii="宋体" w:hAnsi="宋体" w:eastAsia="宋体" w:cs="宋体"/>
                <w:b/>
                <w:bCs/>
                <w:spacing w:val="2"/>
                <w:w w:val="99"/>
                <w:sz w:val="24"/>
                <w:szCs w:val="24"/>
                <w:lang w:eastAsia="zh-CN"/>
              </w:rPr>
              <w:t>模块名称</w:t>
            </w:r>
          </w:p>
        </w:tc>
        <w:tc>
          <w:tcPr>
            <w:tcW w:w="1638" w:type="pct"/>
            <w:gridSpan w:val="3"/>
            <w:vAlign w:val="center"/>
          </w:tcPr>
          <w:p>
            <w:pPr>
              <w:pStyle w:val="19"/>
              <w:spacing w:before="91"/>
              <w:ind w:firstLine="0" w:firstLineChars="0"/>
              <w:jc w:val="center"/>
              <w:rPr>
                <w:rFonts w:ascii="宋体" w:hAnsi="宋体" w:eastAsia="宋体" w:cs="宋体"/>
                <w:b/>
                <w:bCs/>
                <w:spacing w:val="2"/>
                <w:w w:val="99"/>
                <w:sz w:val="24"/>
                <w:szCs w:val="24"/>
                <w:lang w:eastAsia="zh-CN"/>
              </w:rPr>
            </w:pPr>
            <w:r>
              <w:rPr>
                <w:rFonts w:hint="eastAsia" w:ascii="宋体" w:hAnsi="宋体" w:eastAsia="宋体" w:cs="宋体"/>
                <w:b/>
                <w:bCs/>
                <w:spacing w:val="2"/>
                <w:w w:val="99"/>
                <w:sz w:val="24"/>
                <w:szCs w:val="24"/>
                <w:lang w:eastAsia="zh-CN"/>
              </w:rPr>
              <w:t>分数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5" w:type="pct"/>
            <w:vMerge w:val="continue"/>
            <w:vAlign w:val="center"/>
          </w:tcPr>
          <w:p>
            <w:pPr>
              <w:pStyle w:val="19"/>
              <w:spacing w:before="91"/>
              <w:ind w:firstLine="0" w:firstLineChars="0"/>
              <w:jc w:val="center"/>
              <w:rPr>
                <w:rFonts w:ascii="宋体" w:hAnsi="宋体" w:eastAsia="宋体" w:cs="宋体"/>
                <w:b/>
                <w:bCs/>
                <w:spacing w:val="2"/>
                <w:w w:val="99"/>
                <w:sz w:val="24"/>
                <w:szCs w:val="24"/>
                <w:lang w:eastAsia="zh-CN"/>
              </w:rPr>
            </w:pPr>
          </w:p>
        </w:tc>
        <w:tc>
          <w:tcPr>
            <w:tcW w:w="2655" w:type="pct"/>
            <w:vMerge w:val="continue"/>
            <w:vAlign w:val="center"/>
          </w:tcPr>
          <w:p>
            <w:pPr>
              <w:pStyle w:val="19"/>
              <w:spacing w:before="91"/>
              <w:ind w:firstLine="0" w:firstLineChars="0"/>
              <w:jc w:val="center"/>
              <w:rPr>
                <w:rFonts w:ascii="宋体" w:hAnsi="宋体" w:eastAsia="宋体" w:cs="宋体"/>
                <w:b/>
                <w:bCs/>
                <w:spacing w:val="2"/>
                <w:w w:val="99"/>
                <w:sz w:val="24"/>
                <w:szCs w:val="24"/>
                <w:lang w:eastAsia="zh-CN"/>
              </w:rPr>
            </w:pPr>
          </w:p>
        </w:tc>
        <w:tc>
          <w:tcPr>
            <w:tcW w:w="563" w:type="pct"/>
            <w:vAlign w:val="center"/>
          </w:tcPr>
          <w:p>
            <w:pPr>
              <w:pStyle w:val="19"/>
              <w:spacing w:before="91"/>
              <w:ind w:firstLine="0" w:firstLineChars="0"/>
              <w:jc w:val="center"/>
              <w:rPr>
                <w:rFonts w:ascii="宋体" w:hAnsi="宋体" w:eastAsia="宋体" w:cs="宋体"/>
                <w:b/>
                <w:bCs/>
                <w:spacing w:val="2"/>
                <w:w w:val="99"/>
                <w:sz w:val="24"/>
                <w:szCs w:val="24"/>
                <w:lang w:eastAsia="zh-CN"/>
              </w:rPr>
            </w:pPr>
            <w:r>
              <w:rPr>
                <w:rFonts w:hint="eastAsia" w:ascii="宋体" w:hAnsi="宋体" w:eastAsia="宋体" w:cs="宋体"/>
                <w:b/>
                <w:bCs/>
                <w:spacing w:val="2"/>
                <w:w w:val="99"/>
                <w:sz w:val="24"/>
                <w:szCs w:val="24"/>
                <w:lang w:eastAsia="zh-CN"/>
              </w:rPr>
              <w:t>评价分</w:t>
            </w:r>
          </w:p>
        </w:tc>
        <w:tc>
          <w:tcPr>
            <w:tcW w:w="570" w:type="pct"/>
            <w:vAlign w:val="center"/>
          </w:tcPr>
          <w:p>
            <w:pPr>
              <w:pStyle w:val="19"/>
              <w:spacing w:before="91"/>
              <w:ind w:firstLine="0" w:firstLineChars="0"/>
              <w:jc w:val="center"/>
              <w:rPr>
                <w:rFonts w:ascii="宋体" w:hAnsi="宋体" w:eastAsia="宋体" w:cs="宋体"/>
                <w:b/>
                <w:bCs/>
                <w:spacing w:val="2"/>
                <w:w w:val="99"/>
                <w:sz w:val="24"/>
                <w:szCs w:val="24"/>
                <w:lang w:eastAsia="zh-CN"/>
              </w:rPr>
            </w:pPr>
            <w:r>
              <w:rPr>
                <w:rFonts w:hint="eastAsia" w:ascii="宋体" w:hAnsi="宋体" w:eastAsia="宋体" w:cs="宋体"/>
                <w:b/>
                <w:bCs/>
                <w:spacing w:val="2"/>
                <w:w w:val="99"/>
                <w:sz w:val="24"/>
                <w:szCs w:val="24"/>
                <w:lang w:eastAsia="zh-CN"/>
              </w:rPr>
              <w:t>测量分</w:t>
            </w:r>
          </w:p>
        </w:tc>
        <w:tc>
          <w:tcPr>
            <w:tcW w:w="504" w:type="pct"/>
            <w:vAlign w:val="center"/>
          </w:tcPr>
          <w:p>
            <w:pPr>
              <w:pStyle w:val="19"/>
              <w:spacing w:before="91"/>
              <w:ind w:firstLine="0" w:firstLineChars="0"/>
              <w:jc w:val="center"/>
              <w:rPr>
                <w:rFonts w:ascii="宋体" w:hAnsi="宋体" w:eastAsia="宋体" w:cs="宋体"/>
                <w:b/>
                <w:bCs/>
                <w:spacing w:val="2"/>
                <w:w w:val="99"/>
                <w:sz w:val="24"/>
                <w:szCs w:val="24"/>
                <w:lang w:eastAsia="zh-CN"/>
              </w:rPr>
            </w:pPr>
            <w:r>
              <w:rPr>
                <w:rFonts w:hint="eastAsia" w:ascii="宋体" w:hAnsi="宋体" w:eastAsia="宋体" w:cs="宋体"/>
                <w:b/>
                <w:bCs/>
                <w:spacing w:val="2"/>
                <w:w w:val="99"/>
                <w:sz w:val="24"/>
                <w:szCs w:val="24"/>
                <w:lang w:eastAsia="zh-CN"/>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5" w:type="pct"/>
            <w:vAlign w:val="center"/>
          </w:tcPr>
          <w:p>
            <w:pPr>
              <w:pStyle w:val="19"/>
              <w:spacing w:before="91"/>
              <w:ind w:firstLine="0" w:firstLineChars="0"/>
              <w:jc w:val="center"/>
              <w:rPr>
                <w:rFonts w:hint="eastAsia" w:ascii="宋体" w:hAnsi="宋体" w:eastAsia="宋体" w:cs="宋体"/>
                <w:spacing w:val="2"/>
                <w:w w:val="99"/>
                <w:sz w:val="24"/>
                <w:szCs w:val="24"/>
                <w:lang w:eastAsia="zh-CN"/>
              </w:rPr>
            </w:pPr>
          </w:p>
        </w:tc>
        <w:tc>
          <w:tcPr>
            <w:tcW w:w="2655" w:type="pct"/>
            <w:vAlign w:val="center"/>
          </w:tcPr>
          <w:p>
            <w:pPr>
              <w:pStyle w:val="19"/>
              <w:spacing w:before="91"/>
              <w:ind w:firstLine="0" w:firstLineChars="0"/>
              <w:jc w:val="center"/>
              <w:rPr>
                <w:rFonts w:hint="default" w:ascii="宋体" w:hAnsi="宋体" w:eastAsia="宋体" w:cs="宋体"/>
                <w:spacing w:val="2"/>
                <w:w w:val="99"/>
                <w:sz w:val="24"/>
                <w:szCs w:val="24"/>
                <w:lang w:val="en-US" w:eastAsia="zh-CN"/>
              </w:rPr>
            </w:pPr>
            <w:r>
              <w:rPr>
                <w:rFonts w:hint="eastAsia" w:ascii="宋体" w:hAnsi="宋体" w:eastAsia="宋体" w:cs="宋体"/>
                <w:spacing w:val="2"/>
                <w:w w:val="99"/>
                <w:sz w:val="24"/>
                <w:szCs w:val="24"/>
                <w:lang w:val="en-US" w:eastAsia="zh-CN"/>
              </w:rPr>
              <w:t>理论考试</w:t>
            </w:r>
          </w:p>
        </w:tc>
        <w:tc>
          <w:tcPr>
            <w:tcW w:w="563" w:type="pct"/>
            <w:vAlign w:val="center"/>
          </w:tcPr>
          <w:p>
            <w:pPr>
              <w:pStyle w:val="19"/>
              <w:spacing w:before="91"/>
              <w:ind w:firstLine="0" w:firstLineChars="0"/>
              <w:jc w:val="center"/>
              <w:rPr>
                <w:rFonts w:hint="default" w:ascii="宋体" w:hAnsi="宋体" w:eastAsia="宋体" w:cs="宋体"/>
                <w:spacing w:val="2"/>
                <w:w w:val="99"/>
                <w:sz w:val="24"/>
                <w:szCs w:val="24"/>
                <w:lang w:val="en-US" w:eastAsia="zh-CN"/>
              </w:rPr>
            </w:pPr>
            <w:r>
              <w:rPr>
                <w:rFonts w:hint="eastAsia" w:ascii="宋体" w:hAnsi="宋体" w:eastAsia="宋体" w:cs="宋体"/>
                <w:spacing w:val="2"/>
                <w:w w:val="99"/>
                <w:sz w:val="24"/>
                <w:szCs w:val="24"/>
                <w:lang w:val="en-US" w:eastAsia="zh-CN"/>
              </w:rPr>
              <w:t>30</w:t>
            </w:r>
          </w:p>
        </w:tc>
        <w:tc>
          <w:tcPr>
            <w:tcW w:w="570" w:type="pct"/>
            <w:vAlign w:val="center"/>
          </w:tcPr>
          <w:p>
            <w:pPr>
              <w:pStyle w:val="19"/>
              <w:spacing w:before="91"/>
              <w:ind w:firstLine="0" w:firstLineChars="0"/>
              <w:jc w:val="center"/>
              <w:rPr>
                <w:rFonts w:hint="default" w:ascii="宋体" w:hAnsi="宋体" w:eastAsia="宋体" w:cs="宋体"/>
                <w:spacing w:val="2"/>
                <w:w w:val="99"/>
                <w:sz w:val="24"/>
                <w:szCs w:val="24"/>
                <w:lang w:val="en-US" w:eastAsia="zh-CN"/>
              </w:rPr>
            </w:pPr>
          </w:p>
        </w:tc>
        <w:tc>
          <w:tcPr>
            <w:tcW w:w="504" w:type="pct"/>
            <w:vAlign w:val="center"/>
          </w:tcPr>
          <w:p>
            <w:pPr>
              <w:pStyle w:val="19"/>
              <w:spacing w:before="91"/>
              <w:ind w:firstLine="0" w:firstLineChars="0"/>
              <w:jc w:val="center"/>
              <w:rPr>
                <w:rFonts w:hint="default" w:ascii="宋体" w:hAnsi="宋体" w:eastAsia="宋体" w:cs="宋体"/>
                <w:spacing w:val="2"/>
                <w:w w:val="99"/>
                <w:sz w:val="24"/>
                <w:szCs w:val="24"/>
                <w:lang w:val="en-US" w:eastAsia="zh-CN"/>
              </w:rPr>
            </w:pPr>
            <w:r>
              <w:rPr>
                <w:rFonts w:hint="eastAsia" w:ascii="宋体" w:hAnsi="宋体" w:eastAsia="宋体" w:cs="宋体"/>
                <w:spacing w:val="2"/>
                <w:w w:val="99"/>
                <w:sz w:val="24"/>
                <w:szCs w:val="24"/>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5" w:type="pct"/>
            <w:vAlign w:val="center"/>
          </w:tcPr>
          <w:p>
            <w:pPr>
              <w:pStyle w:val="19"/>
              <w:spacing w:before="91"/>
              <w:ind w:firstLine="0" w:firstLineChars="0"/>
              <w:jc w:val="center"/>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A</w:t>
            </w:r>
          </w:p>
        </w:tc>
        <w:tc>
          <w:tcPr>
            <w:tcW w:w="2655" w:type="pct"/>
            <w:vAlign w:val="center"/>
          </w:tcPr>
          <w:p>
            <w:pPr>
              <w:pStyle w:val="19"/>
              <w:spacing w:before="91"/>
              <w:ind w:firstLine="0" w:firstLineChars="0"/>
              <w:jc w:val="center"/>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发动机管理系统故障诊断与维修</w:t>
            </w:r>
          </w:p>
        </w:tc>
        <w:tc>
          <w:tcPr>
            <w:tcW w:w="563" w:type="pct"/>
            <w:vAlign w:val="center"/>
          </w:tcPr>
          <w:p>
            <w:pPr>
              <w:pStyle w:val="19"/>
              <w:spacing w:before="91"/>
              <w:ind w:firstLine="0" w:firstLineChars="0"/>
              <w:jc w:val="center"/>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5</w:t>
            </w:r>
          </w:p>
        </w:tc>
        <w:tc>
          <w:tcPr>
            <w:tcW w:w="570" w:type="pct"/>
            <w:vAlign w:val="center"/>
          </w:tcPr>
          <w:p>
            <w:pPr>
              <w:pStyle w:val="19"/>
              <w:spacing w:before="91"/>
              <w:ind w:firstLine="0" w:firstLineChars="0"/>
              <w:jc w:val="center"/>
              <w:rPr>
                <w:rFonts w:hint="default" w:ascii="宋体" w:hAnsi="宋体" w:eastAsia="宋体" w:cs="宋体"/>
                <w:spacing w:val="2"/>
                <w:w w:val="99"/>
                <w:sz w:val="24"/>
                <w:szCs w:val="24"/>
                <w:lang w:val="en-US" w:eastAsia="zh-CN"/>
              </w:rPr>
            </w:pPr>
            <w:r>
              <w:rPr>
                <w:rFonts w:hint="eastAsia" w:ascii="宋体" w:hAnsi="宋体" w:eastAsia="宋体" w:cs="宋体"/>
                <w:spacing w:val="2"/>
                <w:w w:val="99"/>
                <w:sz w:val="24"/>
                <w:szCs w:val="24"/>
                <w:lang w:val="en-US" w:eastAsia="zh-CN"/>
              </w:rPr>
              <w:t>30</w:t>
            </w:r>
          </w:p>
        </w:tc>
        <w:tc>
          <w:tcPr>
            <w:tcW w:w="504" w:type="pct"/>
            <w:vAlign w:val="center"/>
          </w:tcPr>
          <w:p>
            <w:pPr>
              <w:pStyle w:val="19"/>
              <w:spacing w:before="91"/>
              <w:ind w:firstLine="0" w:firstLineChars="0"/>
              <w:jc w:val="center"/>
              <w:rPr>
                <w:rFonts w:hint="default" w:ascii="宋体" w:hAnsi="宋体" w:eastAsia="宋体" w:cs="宋体"/>
                <w:spacing w:val="2"/>
                <w:w w:val="99"/>
                <w:sz w:val="24"/>
                <w:szCs w:val="24"/>
                <w:lang w:val="en-US" w:eastAsia="zh-CN"/>
              </w:rPr>
            </w:pPr>
            <w:r>
              <w:rPr>
                <w:rFonts w:hint="eastAsia" w:ascii="宋体" w:hAnsi="宋体" w:eastAsia="宋体" w:cs="宋体"/>
                <w:spacing w:val="2"/>
                <w:w w:val="99"/>
                <w:sz w:val="24"/>
                <w:szCs w:val="24"/>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5" w:type="pct"/>
            <w:vAlign w:val="center"/>
          </w:tcPr>
          <w:p>
            <w:pPr>
              <w:pStyle w:val="19"/>
              <w:spacing w:before="91"/>
              <w:ind w:firstLine="0" w:firstLineChars="0"/>
              <w:jc w:val="center"/>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val="en-US" w:eastAsia="zh-CN"/>
              </w:rPr>
              <w:t>B</w:t>
            </w:r>
          </w:p>
        </w:tc>
        <w:tc>
          <w:tcPr>
            <w:tcW w:w="2655" w:type="pct"/>
            <w:vAlign w:val="center"/>
          </w:tcPr>
          <w:p>
            <w:pPr>
              <w:pStyle w:val="19"/>
              <w:spacing w:before="91"/>
              <w:ind w:firstLine="0" w:firstLineChars="0"/>
              <w:jc w:val="center"/>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车身电气系统故障诊断与维修</w:t>
            </w:r>
          </w:p>
        </w:tc>
        <w:tc>
          <w:tcPr>
            <w:tcW w:w="563" w:type="pct"/>
            <w:vAlign w:val="center"/>
          </w:tcPr>
          <w:p>
            <w:pPr>
              <w:pStyle w:val="19"/>
              <w:spacing w:before="91"/>
              <w:ind w:firstLine="0" w:firstLineChars="0"/>
              <w:jc w:val="center"/>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5</w:t>
            </w:r>
          </w:p>
        </w:tc>
        <w:tc>
          <w:tcPr>
            <w:tcW w:w="570" w:type="pct"/>
            <w:vAlign w:val="center"/>
          </w:tcPr>
          <w:p>
            <w:pPr>
              <w:pStyle w:val="19"/>
              <w:spacing w:before="91"/>
              <w:ind w:firstLine="0" w:firstLineChars="0"/>
              <w:jc w:val="center"/>
              <w:rPr>
                <w:rFonts w:hint="default" w:ascii="宋体" w:hAnsi="宋体" w:eastAsia="宋体" w:cs="宋体"/>
                <w:spacing w:val="2"/>
                <w:w w:val="99"/>
                <w:sz w:val="24"/>
                <w:szCs w:val="24"/>
                <w:lang w:val="en-US" w:eastAsia="zh-CN"/>
              </w:rPr>
            </w:pPr>
            <w:r>
              <w:rPr>
                <w:rFonts w:hint="eastAsia" w:ascii="宋体" w:hAnsi="宋体" w:eastAsia="宋体" w:cs="宋体"/>
                <w:spacing w:val="2"/>
                <w:w w:val="99"/>
                <w:sz w:val="24"/>
                <w:szCs w:val="24"/>
                <w:lang w:val="en-US" w:eastAsia="zh-CN"/>
              </w:rPr>
              <w:t>30</w:t>
            </w:r>
          </w:p>
        </w:tc>
        <w:tc>
          <w:tcPr>
            <w:tcW w:w="504" w:type="pct"/>
            <w:vAlign w:val="center"/>
          </w:tcPr>
          <w:p>
            <w:pPr>
              <w:pStyle w:val="19"/>
              <w:spacing w:before="91"/>
              <w:ind w:firstLine="0" w:firstLineChars="0"/>
              <w:jc w:val="center"/>
              <w:rPr>
                <w:rFonts w:hint="default" w:ascii="宋体" w:hAnsi="宋体" w:eastAsia="宋体" w:cs="宋体"/>
                <w:spacing w:val="2"/>
                <w:w w:val="99"/>
                <w:sz w:val="24"/>
                <w:szCs w:val="24"/>
                <w:lang w:val="en-US" w:eastAsia="zh-CN"/>
              </w:rPr>
            </w:pPr>
            <w:r>
              <w:rPr>
                <w:rFonts w:hint="eastAsia" w:ascii="宋体" w:hAnsi="宋体" w:eastAsia="宋体" w:cs="宋体"/>
                <w:spacing w:val="2"/>
                <w:w w:val="99"/>
                <w:sz w:val="24"/>
                <w:szCs w:val="24"/>
                <w:lang w:val="en-US" w:eastAsia="zh-CN"/>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05" w:type="pct"/>
            <w:vAlign w:val="center"/>
          </w:tcPr>
          <w:p>
            <w:pPr>
              <w:pStyle w:val="19"/>
              <w:spacing w:before="91"/>
              <w:ind w:firstLine="0" w:firstLineChars="0"/>
              <w:jc w:val="center"/>
              <w:rPr>
                <w:rFonts w:ascii="宋体" w:hAnsi="宋体" w:eastAsia="宋体" w:cs="宋体"/>
                <w:b/>
                <w:bCs/>
                <w:spacing w:val="2"/>
                <w:w w:val="99"/>
                <w:sz w:val="24"/>
                <w:szCs w:val="24"/>
                <w:lang w:eastAsia="zh-CN"/>
              </w:rPr>
            </w:pPr>
          </w:p>
        </w:tc>
        <w:tc>
          <w:tcPr>
            <w:tcW w:w="2655" w:type="pct"/>
            <w:vAlign w:val="center"/>
          </w:tcPr>
          <w:p>
            <w:pPr>
              <w:pStyle w:val="19"/>
              <w:spacing w:before="91"/>
              <w:ind w:firstLine="0" w:firstLineChars="0"/>
              <w:jc w:val="center"/>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合计</w:t>
            </w:r>
          </w:p>
        </w:tc>
        <w:tc>
          <w:tcPr>
            <w:tcW w:w="563" w:type="pct"/>
            <w:vAlign w:val="center"/>
          </w:tcPr>
          <w:p>
            <w:pPr>
              <w:pStyle w:val="19"/>
              <w:spacing w:before="91"/>
              <w:ind w:firstLine="0" w:firstLineChars="0"/>
              <w:jc w:val="center"/>
              <w:rPr>
                <w:rFonts w:hint="default" w:ascii="宋体" w:hAnsi="宋体" w:eastAsia="宋体" w:cs="宋体"/>
                <w:spacing w:val="2"/>
                <w:w w:val="99"/>
                <w:sz w:val="24"/>
                <w:szCs w:val="24"/>
                <w:lang w:val="en-US" w:eastAsia="zh-CN"/>
              </w:rPr>
            </w:pPr>
            <w:r>
              <w:rPr>
                <w:rFonts w:hint="eastAsia" w:ascii="宋体" w:hAnsi="宋体" w:eastAsia="宋体" w:cs="宋体"/>
                <w:spacing w:val="2"/>
                <w:w w:val="99"/>
                <w:sz w:val="24"/>
                <w:szCs w:val="24"/>
                <w:lang w:val="en-US" w:eastAsia="zh-CN"/>
              </w:rPr>
              <w:t>40</w:t>
            </w:r>
          </w:p>
        </w:tc>
        <w:tc>
          <w:tcPr>
            <w:tcW w:w="570" w:type="pct"/>
            <w:vAlign w:val="center"/>
          </w:tcPr>
          <w:p>
            <w:pPr>
              <w:pStyle w:val="19"/>
              <w:spacing w:before="91"/>
              <w:ind w:firstLine="0" w:firstLineChars="0"/>
              <w:jc w:val="center"/>
              <w:rPr>
                <w:rFonts w:hint="default" w:ascii="宋体" w:hAnsi="宋体" w:eastAsia="宋体" w:cs="宋体"/>
                <w:spacing w:val="2"/>
                <w:w w:val="99"/>
                <w:sz w:val="24"/>
                <w:szCs w:val="24"/>
                <w:lang w:val="en-US" w:eastAsia="zh-CN"/>
              </w:rPr>
            </w:pPr>
            <w:r>
              <w:rPr>
                <w:rFonts w:hint="eastAsia" w:ascii="宋体" w:hAnsi="宋体" w:eastAsia="宋体" w:cs="宋体"/>
                <w:spacing w:val="2"/>
                <w:w w:val="99"/>
                <w:sz w:val="24"/>
                <w:szCs w:val="24"/>
                <w:lang w:val="en-US" w:eastAsia="zh-CN"/>
              </w:rPr>
              <w:t>60</w:t>
            </w:r>
          </w:p>
        </w:tc>
        <w:tc>
          <w:tcPr>
            <w:tcW w:w="504" w:type="pct"/>
            <w:vAlign w:val="center"/>
          </w:tcPr>
          <w:p>
            <w:pPr>
              <w:pStyle w:val="19"/>
              <w:spacing w:before="91"/>
              <w:ind w:firstLine="0" w:firstLineChars="0"/>
              <w:jc w:val="center"/>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100</w:t>
            </w:r>
          </w:p>
        </w:tc>
      </w:tr>
    </w:tbl>
    <w:p>
      <w:pPr>
        <w:ind w:firstLine="640"/>
        <w:rPr>
          <w:rFonts w:hint="eastAsia" w:ascii="仿宋_GB2312" w:hAnsi="仿宋_GB2312" w:eastAsia="仿宋_GB2312" w:cs="仿宋_GB2312"/>
          <w:b/>
          <w:bCs/>
          <w:color w:val="auto"/>
          <w:sz w:val="32"/>
          <w:szCs w:val="32"/>
        </w:rPr>
      </w:pPr>
    </w:p>
    <w:p>
      <w:pPr>
        <w:ind w:firstLine="640"/>
        <w:rPr>
          <w:rFonts w:ascii="仿宋_GB2312" w:hAnsi="仿宋_GB2312" w:eastAsia="仿宋_GB2312" w:cs="仿宋_GB2312"/>
          <w:color w:val="auto"/>
          <w:sz w:val="32"/>
          <w:szCs w:val="32"/>
        </w:rPr>
      </w:pPr>
      <w:r>
        <w:rPr>
          <w:rFonts w:hint="eastAsia" w:ascii="仿宋_GB2312" w:hAnsi="仿宋_GB2312" w:eastAsia="仿宋_GB2312" w:cs="仿宋_GB2312"/>
          <w:b/>
          <w:bCs/>
          <w:color w:val="auto"/>
          <w:sz w:val="32"/>
          <w:szCs w:val="32"/>
        </w:rPr>
        <w:t>2.</w:t>
      </w:r>
      <w:r>
        <w:rPr>
          <w:rFonts w:hint="eastAsia" w:ascii="仿宋_GB2312" w:hAnsi="仿宋_GB2312" w:eastAsia="仿宋_GB2312" w:cs="仿宋_GB2312"/>
          <w:color w:val="auto"/>
          <w:sz w:val="32"/>
          <w:szCs w:val="32"/>
        </w:rPr>
        <w:t>评判方法</w:t>
      </w:r>
    </w:p>
    <w:p>
      <w:pPr>
        <w:pStyle w:val="5"/>
        <w:ind w:firstLine="640"/>
        <w:rPr>
          <w:rFonts w:ascii="仿宋_GB2312" w:hAnsi="仿宋_GB2312" w:eastAsia="仿宋_GB2312" w:cs="仿宋_GB2312"/>
          <w:sz w:val="32"/>
          <w:lang w:eastAsia="zh-CN"/>
        </w:rPr>
      </w:pPr>
      <w:r>
        <w:rPr>
          <w:rFonts w:hint="eastAsia" w:ascii="仿宋_GB2312" w:hAnsi="仿宋_GB2312" w:eastAsia="仿宋_GB2312" w:cs="仿宋_GB2312"/>
          <w:sz w:val="32"/>
          <w:lang w:eastAsia="zh-CN"/>
        </w:rPr>
        <w:t>（1）评价分（主观）</w:t>
      </w:r>
    </w:p>
    <w:p>
      <w:pPr>
        <w:pStyle w:val="5"/>
        <w:ind w:firstLine="640"/>
        <w:rPr>
          <w:sz w:val="32"/>
          <w:lang w:eastAsia="zh-CN"/>
        </w:rPr>
      </w:pPr>
      <w:r>
        <w:rPr>
          <w:rFonts w:hint="eastAsia"/>
          <w:sz w:val="32"/>
          <w:lang w:eastAsia="zh-CN"/>
        </w:rPr>
        <w:t>评价分分为四个等级，裁判根据选手完成情况进行打分，权重见下表。</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1"/>
        <w:gridCol w:w="7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2" w:type="dxa"/>
          </w:tcPr>
          <w:p>
            <w:pPr>
              <w:pStyle w:val="19"/>
              <w:spacing w:before="91"/>
              <w:ind w:firstLine="0" w:firstLineChars="0"/>
              <w:jc w:val="center"/>
              <w:rPr>
                <w:rFonts w:ascii="宋体" w:hAnsi="宋体" w:eastAsia="宋体" w:cs="宋体"/>
                <w:b/>
                <w:bCs/>
                <w:spacing w:val="2"/>
                <w:w w:val="99"/>
                <w:sz w:val="24"/>
                <w:szCs w:val="24"/>
                <w:lang w:eastAsia="zh-CN"/>
              </w:rPr>
            </w:pPr>
            <w:r>
              <w:rPr>
                <w:rFonts w:hint="eastAsia" w:ascii="宋体" w:hAnsi="宋体" w:eastAsia="宋体" w:cs="宋体"/>
                <w:b/>
                <w:bCs/>
                <w:spacing w:val="2"/>
                <w:w w:val="99"/>
                <w:sz w:val="24"/>
                <w:szCs w:val="24"/>
                <w:lang w:eastAsia="zh-CN"/>
              </w:rPr>
              <w:t>权重分值</w:t>
            </w:r>
          </w:p>
        </w:tc>
        <w:tc>
          <w:tcPr>
            <w:tcW w:w="7780" w:type="dxa"/>
          </w:tcPr>
          <w:p>
            <w:pPr>
              <w:pStyle w:val="19"/>
              <w:spacing w:before="91"/>
              <w:ind w:firstLine="0" w:firstLineChars="0"/>
              <w:jc w:val="center"/>
              <w:rPr>
                <w:rFonts w:ascii="宋体" w:hAnsi="宋体" w:eastAsia="宋体" w:cs="宋体"/>
                <w:b/>
                <w:bCs/>
                <w:spacing w:val="2"/>
                <w:w w:val="99"/>
                <w:sz w:val="24"/>
                <w:szCs w:val="24"/>
                <w:lang w:eastAsia="zh-CN"/>
              </w:rPr>
            </w:pPr>
            <w:r>
              <w:rPr>
                <w:rFonts w:hint="eastAsia" w:ascii="宋体" w:hAnsi="宋体" w:eastAsia="宋体" w:cs="宋体"/>
                <w:b/>
                <w:bCs/>
                <w:spacing w:val="2"/>
                <w:w w:val="99"/>
                <w:sz w:val="24"/>
                <w:szCs w:val="24"/>
                <w:lang w:eastAsia="zh-CN"/>
              </w:rPr>
              <w:t>要求描述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2" w:type="dxa"/>
          </w:tcPr>
          <w:p>
            <w:pPr>
              <w:pStyle w:val="19"/>
              <w:spacing w:before="91"/>
              <w:ind w:firstLine="0" w:firstLineChars="0"/>
              <w:jc w:val="center"/>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0分</w:t>
            </w:r>
          </w:p>
        </w:tc>
        <w:tc>
          <w:tcPr>
            <w:tcW w:w="7780" w:type="dxa"/>
          </w:tcPr>
          <w:p>
            <w:pPr>
              <w:pStyle w:val="19"/>
              <w:spacing w:before="91"/>
              <w:ind w:firstLine="0" w:firstLineChars="0"/>
              <w:jc w:val="left"/>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各方面均低于行业标准，包括“未做尝试”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2" w:type="dxa"/>
          </w:tcPr>
          <w:p>
            <w:pPr>
              <w:pStyle w:val="19"/>
              <w:spacing w:before="91"/>
              <w:ind w:firstLine="0" w:firstLineChars="0"/>
              <w:jc w:val="center"/>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1分</w:t>
            </w:r>
          </w:p>
        </w:tc>
        <w:tc>
          <w:tcPr>
            <w:tcW w:w="7780" w:type="dxa"/>
          </w:tcPr>
          <w:p>
            <w:pPr>
              <w:pStyle w:val="19"/>
              <w:spacing w:before="91"/>
              <w:ind w:firstLine="0" w:firstLineChars="0"/>
              <w:jc w:val="left"/>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达到行业标准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2" w:type="dxa"/>
          </w:tcPr>
          <w:p>
            <w:pPr>
              <w:pStyle w:val="19"/>
              <w:spacing w:before="91"/>
              <w:ind w:firstLine="0" w:firstLineChars="0"/>
              <w:jc w:val="center"/>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2分</w:t>
            </w:r>
          </w:p>
        </w:tc>
        <w:tc>
          <w:tcPr>
            <w:tcW w:w="7780" w:type="dxa"/>
          </w:tcPr>
          <w:p>
            <w:pPr>
              <w:pStyle w:val="19"/>
              <w:spacing w:before="91"/>
              <w:ind w:firstLine="0" w:firstLineChars="0"/>
              <w:jc w:val="left"/>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达到行业标准，且某些方面超出标准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2" w:type="dxa"/>
          </w:tcPr>
          <w:p>
            <w:pPr>
              <w:pStyle w:val="19"/>
              <w:spacing w:before="91"/>
              <w:ind w:firstLine="0" w:firstLineChars="0"/>
              <w:jc w:val="center"/>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3分</w:t>
            </w:r>
          </w:p>
        </w:tc>
        <w:tc>
          <w:tcPr>
            <w:tcW w:w="7780" w:type="dxa"/>
          </w:tcPr>
          <w:p>
            <w:pPr>
              <w:pStyle w:val="19"/>
              <w:spacing w:before="91"/>
              <w:ind w:firstLine="0" w:firstLineChars="0"/>
              <w:jc w:val="left"/>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达到并超出行业期待的优秀水平</w:t>
            </w:r>
          </w:p>
        </w:tc>
      </w:tr>
    </w:tbl>
    <w:p>
      <w:pPr>
        <w:widowControl/>
        <w:ind w:firstLine="620"/>
        <w:rPr>
          <w:lang w:eastAsia="zh-CN"/>
        </w:rPr>
      </w:pPr>
      <w:r>
        <w:rPr>
          <w:rFonts w:ascii="仿宋" w:hAnsi="仿宋" w:eastAsia="仿宋" w:cs="仿宋"/>
          <w:color w:val="000000"/>
          <w:sz w:val="31"/>
          <w:szCs w:val="31"/>
          <w:lang w:eastAsia="zh-CN" w:bidi="ar"/>
        </w:rPr>
        <w:t xml:space="preserve">样例：准备和清洁场地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21"/>
        <w:gridCol w:w="77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2" w:type="dxa"/>
          </w:tcPr>
          <w:p>
            <w:pPr>
              <w:pStyle w:val="19"/>
              <w:spacing w:before="91"/>
              <w:ind w:firstLine="0" w:firstLineChars="0"/>
              <w:jc w:val="center"/>
              <w:rPr>
                <w:rFonts w:ascii="宋体" w:hAnsi="宋体" w:eastAsia="宋体" w:cs="宋体"/>
                <w:b/>
                <w:bCs/>
                <w:spacing w:val="2"/>
                <w:w w:val="99"/>
                <w:sz w:val="24"/>
                <w:szCs w:val="24"/>
                <w:lang w:eastAsia="zh-CN"/>
              </w:rPr>
            </w:pPr>
            <w:r>
              <w:rPr>
                <w:rFonts w:hint="eastAsia" w:ascii="宋体" w:hAnsi="宋体" w:eastAsia="宋体" w:cs="宋体"/>
                <w:b/>
                <w:bCs/>
                <w:spacing w:val="2"/>
                <w:w w:val="99"/>
                <w:sz w:val="24"/>
                <w:szCs w:val="24"/>
                <w:lang w:eastAsia="zh-CN"/>
              </w:rPr>
              <w:t>权重分值</w:t>
            </w:r>
          </w:p>
        </w:tc>
        <w:tc>
          <w:tcPr>
            <w:tcW w:w="7780" w:type="dxa"/>
          </w:tcPr>
          <w:p>
            <w:pPr>
              <w:pStyle w:val="19"/>
              <w:spacing w:before="91"/>
              <w:ind w:firstLine="0" w:firstLineChars="0"/>
              <w:jc w:val="center"/>
              <w:rPr>
                <w:rFonts w:ascii="宋体" w:hAnsi="宋体" w:eastAsia="宋体" w:cs="宋体"/>
                <w:b/>
                <w:bCs/>
                <w:spacing w:val="2"/>
                <w:w w:val="99"/>
                <w:sz w:val="24"/>
                <w:szCs w:val="24"/>
                <w:lang w:eastAsia="zh-CN"/>
              </w:rPr>
            </w:pPr>
            <w:r>
              <w:rPr>
                <w:rFonts w:hint="eastAsia" w:ascii="宋体" w:hAnsi="宋体" w:eastAsia="宋体" w:cs="宋体"/>
                <w:b/>
                <w:bCs/>
                <w:spacing w:val="2"/>
                <w:w w:val="99"/>
                <w:sz w:val="24"/>
                <w:szCs w:val="24"/>
                <w:lang w:eastAsia="zh-CN"/>
              </w:rPr>
              <w:t>要求描述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2" w:type="dxa"/>
          </w:tcPr>
          <w:p>
            <w:pPr>
              <w:pStyle w:val="19"/>
              <w:spacing w:before="91"/>
              <w:ind w:firstLine="0" w:firstLineChars="0"/>
              <w:jc w:val="center"/>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0分</w:t>
            </w:r>
          </w:p>
        </w:tc>
        <w:tc>
          <w:tcPr>
            <w:tcW w:w="7780" w:type="dxa"/>
          </w:tcPr>
          <w:p>
            <w:pPr>
              <w:pStyle w:val="19"/>
              <w:spacing w:before="91"/>
              <w:ind w:firstLine="0" w:firstLineChars="0"/>
              <w:jc w:val="left"/>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未进行准备，未清洁工作场地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2" w:type="dxa"/>
          </w:tcPr>
          <w:p>
            <w:pPr>
              <w:pStyle w:val="19"/>
              <w:spacing w:before="91"/>
              <w:ind w:firstLine="0" w:firstLineChars="0"/>
              <w:jc w:val="center"/>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1分</w:t>
            </w:r>
          </w:p>
        </w:tc>
        <w:tc>
          <w:tcPr>
            <w:tcW w:w="7780" w:type="dxa"/>
          </w:tcPr>
          <w:p>
            <w:pPr>
              <w:pStyle w:val="19"/>
              <w:spacing w:before="91"/>
              <w:ind w:firstLine="0" w:firstLineChars="0"/>
              <w:jc w:val="left"/>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检查工具和设备，工作场地脏污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2" w:type="dxa"/>
          </w:tcPr>
          <w:p>
            <w:pPr>
              <w:pStyle w:val="19"/>
              <w:spacing w:before="91"/>
              <w:ind w:firstLine="0" w:firstLineChars="0"/>
              <w:jc w:val="center"/>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2分</w:t>
            </w:r>
          </w:p>
        </w:tc>
        <w:tc>
          <w:tcPr>
            <w:tcW w:w="7780" w:type="dxa"/>
          </w:tcPr>
          <w:p>
            <w:pPr>
              <w:pStyle w:val="19"/>
              <w:spacing w:before="91"/>
              <w:ind w:firstLine="0" w:firstLineChars="0"/>
              <w:jc w:val="left"/>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检查工具和设备，清洁工作场地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2" w:type="dxa"/>
          </w:tcPr>
          <w:p>
            <w:pPr>
              <w:pStyle w:val="19"/>
              <w:spacing w:before="91"/>
              <w:ind w:firstLine="0" w:firstLineChars="0"/>
              <w:jc w:val="center"/>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3分</w:t>
            </w:r>
          </w:p>
        </w:tc>
        <w:tc>
          <w:tcPr>
            <w:tcW w:w="7780" w:type="dxa"/>
          </w:tcPr>
          <w:p>
            <w:pPr>
              <w:pStyle w:val="19"/>
              <w:spacing w:before="91"/>
              <w:ind w:firstLine="0" w:firstLineChars="0"/>
              <w:jc w:val="left"/>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检查工具和设备，随时清洁工作场地以及工具、设备</w:t>
            </w:r>
          </w:p>
        </w:tc>
      </w:tr>
    </w:tbl>
    <w:p>
      <w:pPr>
        <w:pStyle w:val="5"/>
        <w:ind w:firstLine="640"/>
        <w:rPr>
          <w:rFonts w:hint="eastAsia"/>
          <w:sz w:val="32"/>
          <w:lang w:eastAsia="zh-CN"/>
        </w:rPr>
      </w:pPr>
    </w:p>
    <w:p>
      <w:pPr>
        <w:pStyle w:val="5"/>
        <w:ind w:firstLine="640"/>
        <w:rPr>
          <w:sz w:val="32"/>
          <w:lang w:eastAsia="zh-CN"/>
        </w:rPr>
      </w:pPr>
      <w:r>
        <w:rPr>
          <w:rFonts w:hint="eastAsia"/>
          <w:sz w:val="32"/>
          <w:lang w:eastAsia="zh-CN"/>
        </w:rPr>
        <w:t>（2）测量分（客观）</w:t>
      </w:r>
    </w:p>
    <w:p>
      <w:pPr>
        <w:pStyle w:val="5"/>
        <w:ind w:firstLine="640"/>
        <w:rPr>
          <w:b/>
          <w:bCs/>
          <w:sz w:val="32"/>
          <w:lang w:eastAsia="zh-CN"/>
        </w:rPr>
      </w:pPr>
      <w:r>
        <w:rPr>
          <w:rFonts w:hint="eastAsia"/>
          <w:sz w:val="32"/>
          <w:lang w:eastAsia="zh-CN"/>
        </w:rPr>
        <w:t>测量分（Measurement）只能选择得分或不得分，裁判根据选手完成情况和评分标准进行判定打分，样表如下。</w:t>
      </w:r>
    </w:p>
    <w:p>
      <w:pPr>
        <w:pStyle w:val="5"/>
        <w:ind w:firstLine="640"/>
        <w:rPr>
          <w:sz w:val="32"/>
          <w:lang w:eastAsia="zh-CN"/>
        </w:rPr>
      </w:pPr>
      <w:r>
        <w:rPr>
          <w:rFonts w:hint="eastAsia"/>
          <w:sz w:val="32"/>
          <w:lang w:eastAsia="zh-CN"/>
        </w:rPr>
        <w:t>样例：测量 EFI 继电器好坏</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48"/>
        <w:gridCol w:w="3208"/>
        <w:gridCol w:w="1394"/>
        <w:gridCol w:w="1079"/>
        <w:gridCol w:w="1079"/>
        <w:gridCol w:w="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Align w:val="center"/>
          </w:tcPr>
          <w:p>
            <w:pPr>
              <w:pStyle w:val="19"/>
              <w:spacing w:before="91"/>
              <w:ind w:firstLine="0" w:firstLineChars="0"/>
              <w:jc w:val="center"/>
              <w:rPr>
                <w:rFonts w:ascii="宋体" w:hAnsi="宋体" w:eastAsia="宋体" w:cs="宋体"/>
                <w:b/>
                <w:bCs/>
                <w:spacing w:val="2"/>
                <w:w w:val="99"/>
                <w:sz w:val="24"/>
                <w:szCs w:val="24"/>
                <w:lang w:eastAsia="zh-CN"/>
              </w:rPr>
            </w:pPr>
            <w:r>
              <w:rPr>
                <w:rFonts w:hint="eastAsia" w:ascii="宋体" w:hAnsi="宋体" w:eastAsia="宋体" w:cs="宋体"/>
                <w:b/>
                <w:bCs/>
                <w:spacing w:val="2"/>
                <w:w w:val="99"/>
                <w:sz w:val="24"/>
                <w:szCs w:val="24"/>
                <w:lang w:eastAsia="zh-CN"/>
              </w:rPr>
              <w:t>类型</w:t>
            </w:r>
          </w:p>
        </w:tc>
        <w:tc>
          <w:tcPr>
            <w:tcW w:w="3212" w:type="dxa"/>
            <w:vAlign w:val="center"/>
          </w:tcPr>
          <w:p>
            <w:pPr>
              <w:pStyle w:val="19"/>
              <w:spacing w:before="91"/>
              <w:ind w:firstLine="0" w:firstLineChars="0"/>
              <w:jc w:val="center"/>
              <w:rPr>
                <w:rFonts w:ascii="宋体" w:hAnsi="宋体" w:eastAsia="宋体" w:cs="宋体"/>
                <w:b/>
                <w:bCs/>
                <w:spacing w:val="2"/>
                <w:w w:val="99"/>
                <w:sz w:val="24"/>
                <w:szCs w:val="24"/>
                <w:lang w:eastAsia="zh-CN"/>
              </w:rPr>
            </w:pPr>
            <w:r>
              <w:rPr>
                <w:rFonts w:hint="eastAsia" w:ascii="宋体" w:hAnsi="宋体" w:eastAsia="宋体" w:cs="宋体"/>
                <w:b/>
                <w:bCs/>
                <w:spacing w:val="2"/>
                <w:w w:val="99"/>
                <w:sz w:val="24"/>
                <w:szCs w:val="24"/>
                <w:lang w:eastAsia="zh-CN"/>
              </w:rPr>
              <w:t>示例</w:t>
            </w:r>
          </w:p>
        </w:tc>
        <w:tc>
          <w:tcPr>
            <w:tcW w:w="1395" w:type="dxa"/>
            <w:vAlign w:val="center"/>
          </w:tcPr>
          <w:p>
            <w:pPr>
              <w:pStyle w:val="19"/>
              <w:spacing w:before="91"/>
              <w:ind w:firstLine="0" w:firstLineChars="0"/>
              <w:jc w:val="center"/>
              <w:rPr>
                <w:rFonts w:ascii="宋体" w:hAnsi="宋体" w:eastAsia="宋体" w:cs="宋体"/>
                <w:b/>
                <w:bCs/>
                <w:spacing w:val="2"/>
                <w:w w:val="99"/>
                <w:sz w:val="24"/>
                <w:szCs w:val="24"/>
                <w:lang w:eastAsia="zh-CN"/>
              </w:rPr>
            </w:pPr>
            <w:r>
              <w:rPr>
                <w:rFonts w:hint="eastAsia" w:ascii="宋体" w:hAnsi="宋体" w:eastAsia="宋体" w:cs="宋体"/>
                <w:b/>
                <w:bCs/>
                <w:spacing w:val="2"/>
                <w:w w:val="99"/>
                <w:sz w:val="24"/>
                <w:szCs w:val="24"/>
                <w:lang w:eastAsia="zh-CN"/>
              </w:rPr>
              <w:t>配分</w:t>
            </w:r>
          </w:p>
        </w:tc>
        <w:tc>
          <w:tcPr>
            <w:tcW w:w="1080" w:type="dxa"/>
            <w:vAlign w:val="center"/>
          </w:tcPr>
          <w:p>
            <w:pPr>
              <w:pStyle w:val="19"/>
              <w:spacing w:before="91"/>
              <w:ind w:firstLine="0" w:firstLineChars="0"/>
              <w:jc w:val="center"/>
              <w:rPr>
                <w:rFonts w:ascii="宋体" w:hAnsi="宋体" w:eastAsia="宋体" w:cs="宋体"/>
                <w:b/>
                <w:bCs/>
                <w:spacing w:val="2"/>
                <w:w w:val="99"/>
                <w:sz w:val="24"/>
                <w:szCs w:val="24"/>
                <w:lang w:eastAsia="zh-CN"/>
              </w:rPr>
            </w:pPr>
            <w:r>
              <w:rPr>
                <w:rFonts w:hint="eastAsia" w:ascii="宋体" w:hAnsi="宋体" w:eastAsia="宋体" w:cs="宋体"/>
                <w:b/>
                <w:bCs/>
                <w:spacing w:val="2"/>
                <w:w w:val="99"/>
                <w:sz w:val="24"/>
                <w:szCs w:val="24"/>
                <w:lang w:eastAsia="zh-CN"/>
              </w:rPr>
              <w:t>正确完成得分</w:t>
            </w:r>
          </w:p>
        </w:tc>
        <w:tc>
          <w:tcPr>
            <w:tcW w:w="1080" w:type="dxa"/>
            <w:vAlign w:val="center"/>
          </w:tcPr>
          <w:p>
            <w:pPr>
              <w:pStyle w:val="19"/>
              <w:spacing w:before="91"/>
              <w:ind w:firstLine="0" w:firstLineChars="0"/>
              <w:jc w:val="center"/>
              <w:rPr>
                <w:rFonts w:ascii="宋体" w:hAnsi="宋体" w:eastAsia="宋体" w:cs="宋体"/>
                <w:b/>
                <w:bCs/>
                <w:spacing w:val="2"/>
                <w:w w:val="99"/>
                <w:sz w:val="24"/>
                <w:szCs w:val="24"/>
                <w:lang w:eastAsia="zh-CN"/>
              </w:rPr>
            </w:pPr>
            <w:r>
              <w:rPr>
                <w:rFonts w:hint="eastAsia" w:ascii="宋体" w:hAnsi="宋体" w:eastAsia="宋体" w:cs="宋体"/>
                <w:b/>
                <w:bCs/>
                <w:spacing w:val="2"/>
                <w:w w:val="99"/>
                <w:sz w:val="24"/>
                <w:szCs w:val="24"/>
                <w:lang w:eastAsia="zh-CN"/>
              </w:rPr>
              <w:t>未完成得分</w:t>
            </w:r>
          </w:p>
        </w:tc>
        <w:tc>
          <w:tcPr>
            <w:tcW w:w="985" w:type="dxa"/>
            <w:vAlign w:val="center"/>
          </w:tcPr>
          <w:p>
            <w:pPr>
              <w:pStyle w:val="19"/>
              <w:spacing w:before="91"/>
              <w:ind w:firstLine="0" w:firstLineChars="0"/>
              <w:jc w:val="center"/>
              <w:rPr>
                <w:rFonts w:ascii="宋体" w:hAnsi="宋体" w:eastAsia="宋体" w:cs="宋体"/>
                <w:b/>
                <w:bCs/>
                <w:spacing w:val="2"/>
                <w:w w:val="99"/>
                <w:sz w:val="24"/>
                <w:szCs w:val="24"/>
                <w:lang w:eastAsia="zh-CN"/>
              </w:rPr>
            </w:pPr>
            <w:r>
              <w:rPr>
                <w:rFonts w:hint="eastAsia" w:ascii="宋体" w:hAnsi="宋体" w:eastAsia="宋体" w:cs="宋体"/>
                <w:b/>
                <w:bCs/>
                <w:spacing w:val="2"/>
                <w:w w:val="99"/>
                <w:sz w:val="24"/>
                <w:szCs w:val="24"/>
                <w:lang w:eastAsia="zh-CN"/>
              </w:rPr>
              <w:t>不正确分值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0" w:type="dxa"/>
            <w:vAlign w:val="center"/>
          </w:tcPr>
          <w:p>
            <w:pPr>
              <w:pStyle w:val="19"/>
              <w:spacing w:before="91"/>
              <w:ind w:firstLine="0" w:firstLineChars="0"/>
              <w:jc w:val="center"/>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满分或零分</w:t>
            </w:r>
          </w:p>
        </w:tc>
        <w:tc>
          <w:tcPr>
            <w:tcW w:w="3212" w:type="dxa"/>
            <w:vAlign w:val="center"/>
          </w:tcPr>
          <w:p>
            <w:pPr>
              <w:pStyle w:val="19"/>
              <w:spacing w:before="91"/>
              <w:ind w:firstLine="0" w:firstLineChars="0"/>
              <w:jc w:val="center"/>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正确测量 EFI 继电器</w:t>
            </w:r>
          </w:p>
        </w:tc>
        <w:tc>
          <w:tcPr>
            <w:tcW w:w="1395" w:type="dxa"/>
            <w:vAlign w:val="center"/>
          </w:tcPr>
          <w:p>
            <w:pPr>
              <w:pStyle w:val="19"/>
              <w:spacing w:before="91"/>
              <w:ind w:firstLine="0" w:firstLineChars="0"/>
              <w:jc w:val="center"/>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0.3</w:t>
            </w:r>
          </w:p>
        </w:tc>
        <w:tc>
          <w:tcPr>
            <w:tcW w:w="1080" w:type="dxa"/>
            <w:vAlign w:val="center"/>
          </w:tcPr>
          <w:p>
            <w:pPr>
              <w:pStyle w:val="19"/>
              <w:spacing w:before="91"/>
              <w:ind w:firstLine="0" w:firstLineChars="0"/>
              <w:jc w:val="center"/>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0.3</w:t>
            </w:r>
          </w:p>
        </w:tc>
        <w:tc>
          <w:tcPr>
            <w:tcW w:w="1080" w:type="dxa"/>
            <w:vAlign w:val="center"/>
          </w:tcPr>
          <w:p>
            <w:pPr>
              <w:pStyle w:val="19"/>
              <w:spacing w:before="91"/>
              <w:ind w:firstLine="0" w:firstLineChars="0"/>
              <w:jc w:val="center"/>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0</w:t>
            </w:r>
          </w:p>
        </w:tc>
        <w:tc>
          <w:tcPr>
            <w:tcW w:w="985" w:type="dxa"/>
            <w:vAlign w:val="center"/>
          </w:tcPr>
          <w:p>
            <w:pPr>
              <w:pStyle w:val="19"/>
              <w:spacing w:before="91"/>
              <w:ind w:firstLine="0" w:firstLineChars="0"/>
              <w:jc w:val="center"/>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0.1</w:t>
            </w:r>
          </w:p>
          <w:p>
            <w:pPr>
              <w:pStyle w:val="19"/>
              <w:spacing w:before="91"/>
              <w:ind w:firstLine="0" w:firstLineChars="0"/>
              <w:jc w:val="center"/>
              <w:rPr>
                <w:rFonts w:ascii="宋体" w:hAnsi="宋体" w:eastAsia="宋体" w:cs="宋体"/>
                <w:spacing w:val="2"/>
                <w:w w:val="99"/>
                <w:sz w:val="24"/>
                <w:szCs w:val="24"/>
                <w:lang w:eastAsia="zh-CN"/>
              </w:rPr>
            </w:pPr>
            <w:r>
              <w:rPr>
                <w:rFonts w:hint="eastAsia" w:ascii="宋体" w:hAnsi="宋体" w:eastAsia="宋体" w:cs="宋体"/>
                <w:spacing w:val="2"/>
                <w:w w:val="99"/>
                <w:sz w:val="24"/>
                <w:szCs w:val="24"/>
                <w:lang w:eastAsia="zh-CN"/>
              </w:rPr>
              <w:t>0.2</w:t>
            </w:r>
          </w:p>
        </w:tc>
      </w:tr>
    </w:tbl>
    <w:p>
      <w:pPr>
        <w:pStyle w:val="5"/>
        <w:ind w:firstLine="640"/>
        <w:rPr>
          <w:rFonts w:hint="eastAsia"/>
          <w:sz w:val="32"/>
          <w:lang w:eastAsia="zh-CN"/>
        </w:rPr>
      </w:pPr>
      <w:r>
        <w:rPr>
          <w:rFonts w:hint="eastAsia"/>
          <w:sz w:val="32"/>
          <w:lang w:eastAsia="zh-CN"/>
        </w:rPr>
        <w:t xml:space="preserve"> </w:t>
      </w:r>
    </w:p>
    <w:p>
      <w:pPr>
        <w:pStyle w:val="5"/>
        <w:ind w:firstLine="640"/>
        <w:rPr>
          <w:sz w:val="32"/>
          <w:lang w:eastAsia="zh-CN"/>
        </w:rPr>
      </w:pPr>
      <w:r>
        <w:rPr>
          <w:rFonts w:hint="eastAsia"/>
          <w:b/>
          <w:bCs/>
          <w:sz w:val="32"/>
          <w:lang w:eastAsia="zh-CN"/>
        </w:rPr>
        <w:t>3</w:t>
      </w:r>
      <w:r>
        <w:rPr>
          <w:sz w:val="32"/>
          <w:lang w:eastAsia="zh-CN"/>
        </w:rPr>
        <w:t>.评判流程</w:t>
      </w:r>
      <w:r>
        <w:rPr>
          <w:rFonts w:hint="eastAsia"/>
          <w:sz w:val="32"/>
          <w:lang w:eastAsia="zh-CN"/>
        </w:rPr>
        <w:t>说明</w:t>
      </w:r>
    </w:p>
    <w:p>
      <w:pPr>
        <w:pStyle w:val="5"/>
        <w:ind w:firstLine="640"/>
        <w:rPr>
          <w:rFonts w:cs="仿宋"/>
          <w:sz w:val="32"/>
          <w:lang w:eastAsia="zh-CN"/>
        </w:rPr>
      </w:pPr>
      <w:r>
        <w:rPr>
          <w:rFonts w:hint="eastAsia"/>
          <w:sz w:val="32"/>
          <w:lang w:eastAsia="zh-CN"/>
        </w:rPr>
        <w:t>每个工</w:t>
      </w:r>
      <w:r>
        <w:rPr>
          <w:rFonts w:hint="eastAsia" w:cs="仿宋"/>
          <w:sz w:val="32"/>
          <w:lang w:eastAsia="zh-CN"/>
        </w:rPr>
        <w:t>位</w:t>
      </w:r>
      <w:r>
        <w:rPr>
          <w:rFonts w:hint="eastAsia" w:cs="仿宋"/>
          <w:kern w:val="2"/>
          <w:sz w:val="32"/>
          <w:lang w:eastAsia="zh-CN"/>
        </w:rPr>
        <w:t>2</w:t>
      </w:r>
      <w:r>
        <w:rPr>
          <w:rFonts w:hint="eastAsia" w:cs="仿宋"/>
          <w:sz w:val="32"/>
          <w:lang w:eastAsia="zh-CN"/>
        </w:rPr>
        <w:t>名裁判现场进行裁判，并接受由裁判长的管理与监督。每轮比赛结束后，立即收集并审核裁判评判结果，如有异议应及时核实，如需改正需裁判签字并注明原因。并将评判结果交裁判长，裁判长审定后最终核准录入比赛成绩表，并签名上报。</w:t>
      </w:r>
    </w:p>
    <w:p>
      <w:pPr>
        <w:pStyle w:val="5"/>
        <w:ind w:firstLine="640"/>
        <w:rPr>
          <w:rFonts w:cs="仿宋"/>
          <w:color w:val="auto"/>
          <w:sz w:val="32"/>
          <w:lang w:eastAsia="zh-CN"/>
        </w:rPr>
      </w:pPr>
      <w:bookmarkStart w:id="18" w:name="5.2_评判的方法和裁判员任务"/>
      <w:bookmarkEnd w:id="18"/>
      <w:r>
        <w:rPr>
          <w:rFonts w:hint="eastAsia" w:cs="仿宋"/>
          <w:color w:val="auto"/>
          <w:sz w:val="32"/>
          <w:lang w:eastAsia="zh-CN"/>
        </w:rPr>
        <w:t>4.统分方法</w:t>
      </w:r>
    </w:p>
    <w:p>
      <w:pPr>
        <w:pStyle w:val="5"/>
        <w:ind w:firstLine="640"/>
        <w:rPr>
          <w:rFonts w:cs="仿宋"/>
          <w:color w:val="auto"/>
          <w:sz w:val="32"/>
          <w:lang w:eastAsia="zh-CN"/>
        </w:rPr>
      </w:pPr>
      <w:r>
        <w:rPr>
          <w:rFonts w:hint="eastAsia" w:cs="仿宋"/>
          <w:color w:val="auto"/>
          <w:sz w:val="32"/>
          <w:lang w:eastAsia="zh-CN"/>
        </w:rPr>
        <w:t>采用现场客观评分，每个工位两名裁判员对选手进行评判打分，模块成绩取两名裁判员打分平均值。综合成绩（满分100分）等于各模块成绩加权分数的总和。</w:t>
      </w:r>
    </w:p>
    <w:p>
      <w:pPr>
        <w:pStyle w:val="5"/>
        <w:ind w:firstLine="643"/>
        <w:rPr>
          <w:rFonts w:cs="仿宋"/>
          <w:sz w:val="32"/>
          <w:lang w:eastAsia="zh-CN"/>
        </w:rPr>
      </w:pPr>
      <w:bookmarkStart w:id="19" w:name="5.3_裁判员在评判中的纪律要求"/>
      <w:bookmarkEnd w:id="19"/>
      <w:bookmarkStart w:id="20" w:name="3．成绩并列"/>
      <w:bookmarkEnd w:id="20"/>
      <w:r>
        <w:rPr>
          <w:rFonts w:hint="eastAsia" w:cs="仿宋"/>
          <w:b/>
          <w:bCs/>
          <w:sz w:val="32"/>
          <w:lang w:eastAsia="zh-CN"/>
        </w:rPr>
        <w:t>5</w:t>
      </w:r>
      <w:r>
        <w:rPr>
          <w:rFonts w:hint="eastAsia" w:cs="仿宋"/>
          <w:sz w:val="32"/>
          <w:lang w:eastAsia="zh-CN"/>
        </w:rPr>
        <w:t>．成绩并列</w:t>
      </w:r>
    </w:p>
    <w:p>
      <w:pPr>
        <w:pStyle w:val="5"/>
        <w:ind w:firstLine="640"/>
        <w:rPr>
          <w:color w:val="0C0C0C" w:themeColor="text1" w:themeTint="F2"/>
          <w:sz w:val="32"/>
          <w:lang w:eastAsia="zh-CN"/>
        </w:rPr>
      </w:pPr>
      <w:r>
        <w:rPr>
          <w:rFonts w:hint="eastAsia" w:cs="仿宋"/>
          <w:sz w:val="32"/>
          <w:lang w:eastAsia="zh-CN"/>
        </w:rPr>
        <w:t>当出现选手总成绩并列时，</w:t>
      </w:r>
      <w:r>
        <w:rPr>
          <w:rFonts w:hint="eastAsia" w:cs="仿宋"/>
          <w:kern w:val="2"/>
          <w:sz w:val="32"/>
          <w:lang w:eastAsia="zh-CN"/>
        </w:rPr>
        <w:t>以比赛A模块与</w:t>
      </w:r>
      <w:r>
        <w:rPr>
          <w:rFonts w:hint="eastAsia" w:cs="仿宋"/>
          <w:kern w:val="2"/>
          <w:sz w:val="32"/>
          <w:lang w:val="en-US" w:eastAsia="zh-CN"/>
        </w:rPr>
        <w:t>B</w:t>
      </w:r>
      <w:r>
        <w:rPr>
          <w:rFonts w:hint="eastAsia" w:cs="仿宋"/>
          <w:kern w:val="2"/>
          <w:sz w:val="32"/>
          <w:lang w:eastAsia="zh-CN"/>
        </w:rPr>
        <w:t>模块的成绩之和分数高的选手名次居前；若A模块和</w:t>
      </w:r>
      <w:r>
        <w:rPr>
          <w:rFonts w:hint="eastAsia" w:cs="仿宋"/>
          <w:kern w:val="2"/>
          <w:sz w:val="32"/>
          <w:lang w:val="en-US" w:eastAsia="zh-CN"/>
        </w:rPr>
        <w:t>B</w:t>
      </w:r>
      <w:r>
        <w:rPr>
          <w:rFonts w:hint="eastAsia" w:cs="仿宋"/>
          <w:kern w:val="2"/>
          <w:sz w:val="32"/>
          <w:lang w:eastAsia="zh-CN"/>
        </w:rPr>
        <w:t>模块的成绩和仍然相同，以A模块的成绩分数高的选手名次居前。若以</w:t>
      </w:r>
      <w:r>
        <w:rPr>
          <w:rFonts w:hint="eastAsia" w:cs="仿宋"/>
          <w:sz w:val="32"/>
          <w:lang w:eastAsia="zh-CN"/>
        </w:rPr>
        <w:t>上成绩均相同，以完成</w:t>
      </w:r>
      <w:r>
        <w:rPr>
          <w:rFonts w:hint="eastAsia" w:cs="仿宋"/>
          <w:sz w:val="32"/>
          <w:lang w:val="en-US" w:eastAsia="zh-CN"/>
        </w:rPr>
        <w:t>二</w:t>
      </w:r>
      <w:r>
        <w:rPr>
          <w:rFonts w:hint="eastAsia" w:cs="仿宋"/>
          <w:sz w:val="32"/>
          <w:lang w:eastAsia="zh-CN"/>
        </w:rPr>
        <w:t>个模块的总时</w:t>
      </w:r>
      <w:r>
        <w:rPr>
          <w:sz w:val="32"/>
          <w:lang w:eastAsia="zh-CN"/>
        </w:rPr>
        <w:t>间最短的选手名次居前。</w:t>
      </w:r>
    </w:p>
    <w:p>
      <w:pPr>
        <w:pStyle w:val="3"/>
        <w:spacing w:before="72"/>
        <w:ind w:firstLine="640"/>
        <w:rPr>
          <w:rFonts w:ascii="黑体" w:hAnsi="黑体" w:eastAsia="黑体" w:cs="黑体"/>
          <w:b w:val="0"/>
          <w:bCs w:val="0"/>
          <w:sz w:val="32"/>
          <w:lang w:eastAsia="zh-CN"/>
        </w:rPr>
      </w:pPr>
      <w:bookmarkStart w:id="21" w:name="三、竞赛细则"/>
      <w:bookmarkEnd w:id="21"/>
      <w:bookmarkStart w:id="22" w:name="_Toc23081"/>
      <w:r>
        <w:rPr>
          <w:rFonts w:hint="eastAsia" w:ascii="黑体" w:hAnsi="黑体" w:eastAsia="黑体" w:cs="黑体"/>
          <w:b w:val="0"/>
          <w:bCs w:val="0"/>
          <w:sz w:val="32"/>
          <w:lang w:eastAsia="zh-CN"/>
        </w:rPr>
        <w:t>三、竞赛细则</w:t>
      </w:r>
      <w:bookmarkEnd w:id="22"/>
    </w:p>
    <w:p>
      <w:pPr>
        <w:pStyle w:val="4"/>
        <w:ind w:firstLine="643"/>
        <w:rPr>
          <w:sz w:val="32"/>
          <w:lang w:eastAsia="zh-CN"/>
        </w:rPr>
      </w:pPr>
      <w:bookmarkStart w:id="23" w:name="（一）比赛日程安排"/>
      <w:bookmarkEnd w:id="23"/>
      <w:bookmarkStart w:id="24" w:name="_Toc9257"/>
      <w:r>
        <w:rPr>
          <w:sz w:val="32"/>
          <w:lang w:eastAsia="zh-CN"/>
        </w:rPr>
        <w:t>（一）比赛日程安排</w:t>
      </w:r>
      <w:bookmarkEnd w:id="24"/>
    </w:p>
    <w:p>
      <w:pPr>
        <w:pStyle w:val="5"/>
        <w:ind w:firstLine="640"/>
        <w:rPr>
          <w:sz w:val="32"/>
          <w:lang w:eastAsia="zh-CN"/>
        </w:rPr>
      </w:pPr>
      <w:r>
        <w:rPr>
          <w:sz w:val="32"/>
          <w:lang w:eastAsia="zh-CN"/>
        </w:rPr>
        <w:t>比赛</w:t>
      </w:r>
      <w:r>
        <w:rPr>
          <w:rFonts w:hint="eastAsia" w:ascii="LinTimes" w:hAnsi="LinTimes" w:cs="LinTimes"/>
          <w:kern w:val="2"/>
          <w:sz w:val="32"/>
          <w:lang w:eastAsia="zh-CN"/>
        </w:rPr>
        <w:t>日程</w:t>
      </w:r>
      <w:r>
        <w:rPr>
          <w:rFonts w:hint="eastAsia" w:cs="仿宋"/>
          <w:kern w:val="2"/>
          <w:sz w:val="32"/>
          <w:lang w:eastAsia="zh-CN"/>
        </w:rPr>
        <w:t>共3天</w:t>
      </w:r>
      <w:r>
        <w:rPr>
          <w:rFonts w:hint="eastAsia" w:cs="仿宋"/>
          <w:sz w:val="32"/>
          <w:lang w:eastAsia="zh-CN"/>
        </w:rPr>
        <w:t>，</w:t>
      </w:r>
      <w:r>
        <w:rPr>
          <w:sz w:val="32"/>
          <w:lang w:eastAsia="zh-CN"/>
        </w:rPr>
        <w:t>具体安排和工作流程见下表。</w:t>
      </w:r>
    </w:p>
    <w:tbl>
      <w:tblPr>
        <w:tblStyle w:val="17"/>
        <w:tblpPr w:leftFromText="181" w:rightFromText="181" w:bottomFromText="283" w:vertAnchor="text" w:tblpY="1"/>
        <w:tblOverlap w:val="never"/>
        <w:tblW w:w="5215" w:type="pct"/>
        <w:tblInd w:w="0" w:type="dxa"/>
        <w:tblLayout w:type="fixed"/>
        <w:tblCellMar>
          <w:top w:w="0" w:type="dxa"/>
          <w:left w:w="0" w:type="dxa"/>
          <w:bottom w:w="0" w:type="dxa"/>
          <w:right w:w="0" w:type="dxa"/>
        </w:tblCellMar>
      </w:tblPr>
      <w:tblGrid>
        <w:gridCol w:w="827"/>
        <w:gridCol w:w="1382"/>
        <w:gridCol w:w="4347"/>
        <w:gridCol w:w="2920"/>
      </w:tblGrid>
      <w:tr>
        <w:tblPrEx>
          <w:tblCellMar>
            <w:top w:w="0" w:type="dxa"/>
            <w:left w:w="0" w:type="dxa"/>
            <w:bottom w:w="0" w:type="dxa"/>
            <w:right w:w="0" w:type="dxa"/>
          </w:tblCellMar>
        </w:tblPrEx>
        <w:trPr>
          <w:trHeight w:val="567" w:hRule="atLeast"/>
          <w:tblHeader/>
        </w:trPr>
        <w:tc>
          <w:tcPr>
            <w:tcW w:w="756" w:type="dxa"/>
            <w:tcBorders>
              <w:top w:val="single" w:color="000000" w:sz="4" w:space="0"/>
              <w:left w:val="single" w:color="000000" w:sz="4" w:space="0"/>
              <w:bottom w:val="single" w:color="000000" w:sz="4" w:space="0"/>
              <w:right w:val="single" w:color="auto" w:sz="4" w:space="0"/>
            </w:tcBorders>
            <w:noWrap w:val="0"/>
            <w:vAlign w:val="center"/>
          </w:tcPr>
          <w:p>
            <w:pPr>
              <w:spacing w:line="360" w:lineRule="auto"/>
              <w:ind w:firstLine="0" w:firstLineChars="0"/>
              <w:jc w:val="center"/>
              <w:textAlignment w:val="center"/>
              <w:rPr>
                <w:rFonts w:hint="default" w:ascii="Times New Roman" w:hAnsi="Times New Roman" w:eastAsia="仿宋_GB2312" w:cs="Times New Roman"/>
                <w:b/>
                <w:bCs w:val="0"/>
                <w:color w:val="000000"/>
                <w:sz w:val="24"/>
                <w:szCs w:val="24"/>
              </w:rPr>
            </w:pPr>
            <w:bookmarkStart w:id="25" w:name="_Toc20447"/>
            <w:bookmarkStart w:id="26" w:name="_Toc11502"/>
            <w:r>
              <w:rPr>
                <w:rFonts w:hint="default" w:ascii="Times New Roman" w:hAnsi="Times New Roman" w:eastAsia="仿宋_GB2312" w:cs="Times New Roman"/>
                <w:b/>
                <w:bCs w:val="0"/>
                <w:color w:val="000000"/>
                <w:sz w:val="24"/>
                <w:szCs w:val="24"/>
              </w:rPr>
              <w:t>日期</w:t>
            </w:r>
          </w:p>
        </w:tc>
        <w:tc>
          <w:tcPr>
            <w:tcW w:w="1264" w:type="dxa"/>
            <w:tcBorders>
              <w:top w:val="single" w:color="000000" w:sz="4" w:space="0"/>
              <w:left w:val="single" w:color="auto" w:sz="4" w:space="0"/>
              <w:bottom w:val="single" w:color="000000" w:sz="4" w:space="0"/>
              <w:right w:val="single" w:color="000000" w:sz="4" w:space="0"/>
            </w:tcBorders>
            <w:noWrap w:val="0"/>
            <w:vAlign w:val="center"/>
          </w:tcPr>
          <w:p>
            <w:pPr>
              <w:spacing w:line="360" w:lineRule="auto"/>
              <w:ind w:firstLine="0" w:firstLineChars="0"/>
              <w:jc w:val="center"/>
              <w:textAlignment w:val="center"/>
              <w:rPr>
                <w:rFonts w:hint="default" w:ascii="Times New Roman" w:hAnsi="Times New Roman" w:eastAsia="仿宋_GB2312" w:cs="Times New Roman"/>
                <w:b/>
                <w:bCs w:val="0"/>
                <w:color w:val="000000"/>
                <w:sz w:val="24"/>
                <w:szCs w:val="24"/>
              </w:rPr>
            </w:pPr>
            <w:r>
              <w:rPr>
                <w:rFonts w:hint="default" w:ascii="Times New Roman" w:hAnsi="Times New Roman" w:eastAsia="仿宋_GB2312" w:cs="Times New Roman"/>
                <w:b/>
                <w:bCs w:val="0"/>
                <w:color w:val="000000"/>
                <w:sz w:val="24"/>
                <w:szCs w:val="24"/>
              </w:rPr>
              <w:t>时间</w:t>
            </w:r>
          </w:p>
        </w:tc>
        <w:tc>
          <w:tcPr>
            <w:tcW w:w="3974"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0" w:firstLineChars="0"/>
              <w:jc w:val="center"/>
              <w:textAlignment w:val="center"/>
              <w:rPr>
                <w:rFonts w:hint="default" w:ascii="Times New Roman" w:hAnsi="Times New Roman" w:eastAsia="仿宋_GB2312" w:cs="Times New Roman"/>
                <w:b/>
                <w:bCs w:val="0"/>
                <w:color w:val="000000"/>
                <w:sz w:val="24"/>
                <w:szCs w:val="24"/>
              </w:rPr>
            </w:pPr>
            <w:r>
              <w:rPr>
                <w:rFonts w:hint="default" w:ascii="Times New Roman" w:hAnsi="Times New Roman" w:eastAsia="仿宋_GB2312" w:cs="Times New Roman"/>
                <w:b/>
                <w:bCs w:val="0"/>
                <w:color w:val="000000"/>
                <w:sz w:val="24"/>
                <w:szCs w:val="24"/>
              </w:rPr>
              <w:t>工作内容</w:t>
            </w:r>
          </w:p>
        </w:tc>
        <w:tc>
          <w:tcPr>
            <w:tcW w:w="2670"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0" w:firstLineChars="0"/>
              <w:jc w:val="center"/>
              <w:textAlignment w:val="center"/>
              <w:rPr>
                <w:rFonts w:hint="default" w:ascii="Times New Roman" w:hAnsi="Times New Roman" w:eastAsia="仿宋_GB2312" w:cs="Times New Roman"/>
                <w:b/>
                <w:bCs w:val="0"/>
                <w:color w:val="000000"/>
                <w:sz w:val="24"/>
                <w:szCs w:val="24"/>
              </w:rPr>
            </w:pPr>
            <w:r>
              <w:rPr>
                <w:rFonts w:hint="default" w:ascii="Times New Roman" w:hAnsi="Times New Roman" w:eastAsia="仿宋_GB2312" w:cs="Times New Roman"/>
                <w:b/>
                <w:bCs w:val="0"/>
                <w:color w:val="000000"/>
                <w:sz w:val="24"/>
                <w:szCs w:val="24"/>
              </w:rPr>
              <w:t>参与人员</w:t>
            </w:r>
          </w:p>
        </w:tc>
      </w:tr>
      <w:tr>
        <w:tblPrEx>
          <w:tblCellMar>
            <w:top w:w="0" w:type="dxa"/>
            <w:left w:w="0" w:type="dxa"/>
            <w:bottom w:w="0" w:type="dxa"/>
            <w:right w:w="0" w:type="dxa"/>
          </w:tblCellMar>
        </w:tblPrEx>
        <w:trPr>
          <w:trHeight w:val="567" w:hRule="atLeast"/>
          <w:tblHeader/>
        </w:trPr>
        <w:tc>
          <w:tcPr>
            <w:tcW w:w="756" w:type="dxa"/>
            <w:tcBorders>
              <w:top w:val="single" w:color="000000" w:sz="4" w:space="0"/>
              <w:left w:val="single" w:color="000000" w:sz="4" w:space="0"/>
              <w:bottom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color w:val="000000"/>
                <w:sz w:val="24"/>
                <w:szCs w:val="24"/>
                <w:lang w:eastAsia="zh-CN" w:bidi="ar"/>
              </w:rPr>
            </w:pPr>
            <w:r>
              <w:rPr>
                <w:rFonts w:hint="default" w:ascii="Times New Roman" w:hAnsi="Times New Roman" w:eastAsia="仿宋_GB2312" w:cs="Times New Roman"/>
                <w:bCs/>
                <w:color w:val="000000"/>
                <w:sz w:val="24"/>
                <w:szCs w:val="24"/>
              </w:rPr>
              <w:t>C-</w:t>
            </w:r>
            <w:r>
              <w:rPr>
                <w:rFonts w:hint="default" w:ascii="Times New Roman" w:hAnsi="Times New Roman" w:eastAsia="仿宋_GB2312" w:cs="Times New Roman"/>
                <w:bCs/>
                <w:color w:val="000000"/>
                <w:sz w:val="24"/>
                <w:szCs w:val="24"/>
                <w:lang w:val="en-US" w:eastAsia="zh-CN"/>
              </w:rPr>
              <w:t>1</w:t>
            </w:r>
          </w:p>
        </w:tc>
        <w:tc>
          <w:tcPr>
            <w:tcW w:w="1264" w:type="dxa"/>
            <w:tcBorders>
              <w:top w:val="single" w:color="000000" w:sz="4" w:space="0"/>
              <w:left w:val="single" w:color="auto" w:sz="4" w:space="0"/>
              <w:bottom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color w:val="000000"/>
                <w:sz w:val="24"/>
                <w:szCs w:val="24"/>
                <w:lang w:val="en-US" w:eastAsia="zh-CN" w:bidi="ar"/>
              </w:rPr>
            </w:pPr>
            <w:r>
              <w:rPr>
                <w:rFonts w:hint="eastAsia" w:ascii="Times New Roman" w:hAnsi="Times New Roman" w:eastAsia="仿宋_GB2312" w:cs="Times New Roman"/>
                <w:bCs/>
                <w:color w:val="000000"/>
                <w:sz w:val="24"/>
                <w:szCs w:val="24"/>
                <w:lang w:val="en-US" w:eastAsia="zh-CN"/>
              </w:rPr>
              <w:t>下午13:00</w:t>
            </w:r>
          </w:p>
        </w:tc>
        <w:tc>
          <w:tcPr>
            <w:tcW w:w="3974" w:type="dxa"/>
            <w:tcBorders>
              <w:top w:val="single" w:color="000000" w:sz="4" w:space="0"/>
              <w:left w:val="single" w:color="000000" w:sz="4" w:space="0"/>
              <w:bottom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color w:val="000000"/>
                <w:sz w:val="24"/>
                <w:szCs w:val="24"/>
                <w:lang w:eastAsia="zh-CN" w:bidi="ar"/>
              </w:rPr>
            </w:pPr>
            <w:r>
              <w:rPr>
                <w:rFonts w:hint="default" w:ascii="Times New Roman" w:hAnsi="Times New Roman" w:eastAsia="仿宋_GB2312" w:cs="Times New Roman"/>
                <w:bCs/>
                <w:color w:val="000000"/>
                <w:sz w:val="24"/>
                <w:szCs w:val="24"/>
                <w:lang w:eastAsia="zh-CN"/>
              </w:rPr>
              <w:t>参赛选手、裁判员报到、裁判员培训、参赛选手熟悉设施设备场地、验收并封存设施设备场地</w:t>
            </w:r>
          </w:p>
        </w:tc>
        <w:tc>
          <w:tcPr>
            <w:tcW w:w="2670" w:type="dxa"/>
            <w:tcBorders>
              <w:top w:val="single" w:color="000000" w:sz="4" w:space="0"/>
              <w:left w:val="single" w:color="000000" w:sz="4" w:space="0"/>
              <w:bottom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color w:val="000000"/>
                <w:sz w:val="24"/>
                <w:szCs w:val="24"/>
                <w:lang w:eastAsia="zh-CN"/>
              </w:rPr>
            </w:pPr>
            <w:r>
              <w:rPr>
                <w:rFonts w:hint="default" w:ascii="Times New Roman" w:hAnsi="Times New Roman" w:eastAsia="仿宋_GB2312" w:cs="Times New Roman"/>
                <w:bCs/>
                <w:color w:val="000000"/>
                <w:sz w:val="24"/>
                <w:szCs w:val="24"/>
                <w:lang w:eastAsia="zh-CN"/>
              </w:rPr>
              <w:t>参赛选手、裁判长、裁判员、场地</w:t>
            </w:r>
            <w:r>
              <w:rPr>
                <w:rFonts w:hint="default" w:ascii="Times New Roman" w:hAnsi="Times New Roman" w:eastAsia="仿宋_GB2312" w:cs="Times New Roman"/>
                <w:bCs/>
                <w:color w:val="000000"/>
                <w:sz w:val="24"/>
                <w:szCs w:val="24"/>
                <w:lang w:val="en-US" w:eastAsia="zh-CN"/>
              </w:rPr>
              <w:t>经理</w:t>
            </w:r>
            <w:r>
              <w:rPr>
                <w:rFonts w:hint="default" w:ascii="Times New Roman" w:hAnsi="Times New Roman" w:eastAsia="仿宋_GB2312" w:cs="Times New Roman"/>
                <w:bCs/>
                <w:color w:val="000000"/>
                <w:sz w:val="24"/>
                <w:szCs w:val="24"/>
                <w:lang w:eastAsia="zh-CN"/>
              </w:rPr>
              <w:t>、技术支持人员</w:t>
            </w:r>
          </w:p>
        </w:tc>
      </w:tr>
      <w:tr>
        <w:tblPrEx>
          <w:tblCellMar>
            <w:top w:w="0" w:type="dxa"/>
            <w:left w:w="0" w:type="dxa"/>
            <w:bottom w:w="0" w:type="dxa"/>
            <w:right w:w="0" w:type="dxa"/>
          </w:tblCellMar>
        </w:tblPrEx>
        <w:trPr>
          <w:trHeight w:val="567" w:hRule="atLeast"/>
          <w:tblHeader/>
        </w:trPr>
        <w:tc>
          <w:tcPr>
            <w:tcW w:w="756" w:type="dxa"/>
            <w:vMerge w:val="restart"/>
            <w:tcBorders>
              <w:top w:val="single" w:color="auto" w:sz="4" w:space="0"/>
              <w:left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rPr>
            </w:pPr>
            <w:r>
              <w:rPr>
                <w:rFonts w:hint="default" w:ascii="Times New Roman" w:hAnsi="Times New Roman" w:eastAsia="仿宋_GB2312" w:cs="Times New Roman"/>
                <w:bCs/>
                <w:color w:val="000000"/>
                <w:sz w:val="24"/>
                <w:szCs w:val="24"/>
                <w:lang w:eastAsia="zh-CN"/>
              </w:rPr>
              <w:t>C1</w:t>
            </w:r>
          </w:p>
        </w:tc>
        <w:tc>
          <w:tcPr>
            <w:tcW w:w="1264" w:type="dxa"/>
            <w:vMerge w:val="restart"/>
            <w:tcBorders>
              <w:top w:val="single" w:color="auto" w:sz="4" w:space="0"/>
              <w:left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r>
              <w:rPr>
                <w:rFonts w:hint="default" w:ascii="Times New Roman" w:hAnsi="Times New Roman" w:eastAsia="仿宋_GB2312" w:cs="Times New Roman"/>
                <w:bCs/>
                <w:color w:val="000000"/>
                <w:sz w:val="24"/>
                <w:szCs w:val="24"/>
                <w:lang w:eastAsia="zh-CN"/>
              </w:rPr>
              <w:t>全天</w:t>
            </w:r>
          </w:p>
        </w:tc>
        <w:tc>
          <w:tcPr>
            <w:tcW w:w="3974" w:type="dxa"/>
            <w:tcBorders>
              <w:top w:val="single" w:color="auto" w:sz="4" w:space="0"/>
              <w:left w:val="single" w:color="000000" w:sz="4" w:space="0"/>
              <w:bottom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r>
              <w:rPr>
                <w:rFonts w:hint="default" w:ascii="Times New Roman" w:hAnsi="Times New Roman" w:eastAsia="仿宋_GB2312" w:cs="Times New Roman"/>
                <w:bCs/>
                <w:color w:val="000000"/>
                <w:sz w:val="24"/>
                <w:szCs w:val="24"/>
                <w:lang w:eastAsia="zh-CN"/>
              </w:rPr>
              <w:t>检录和抽取工位号（选手须携带身份证，按照检录顺序检录入场）</w:t>
            </w:r>
          </w:p>
        </w:tc>
        <w:tc>
          <w:tcPr>
            <w:tcW w:w="2670" w:type="dxa"/>
            <w:vMerge w:val="restart"/>
            <w:tcBorders>
              <w:top w:val="single" w:color="auto" w:sz="4" w:space="0"/>
              <w:left w:val="single" w:color="000000"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r>
              <w:rPr>
                <w:rFonts w:hint="default" w:ascii="Times New Roman" w:hAnsi="Times New Roman" w:eastAsia="仿宋_GB2312" w:cs="Times New Roman"/>
                <w:bCs/>
                <w:color w:val="000000"/>
                <w:sz w:val="24"/>
                <w:szCs w:val="24"/>
                <w:lang w:eastAsia="zh-CN"/>
              </w:rPr>
              <w:t>参赛选手、裁判员、裁判长、场地</w:t>
            </w:r>
            <w:r>
              <w:rPr>
                <w:rFonts w:hint="default" w:ascii="Times New Roman" w:hAnsi="Times New Roman" w:eastAsia="仿宋_GB2312" w:cs="Times New Roman"/>
                <w:bCs/>
                <w:color w:val="000000"/>
                <w:sz w:val="24"/>
                <w:szCs w:val="24"/>
                <w:lang w:val="en-US" w:eastAsia="zh-CN"/>
              </w:rPr>
              <w:t>经理</w:t>
            </w:r>
            <w:r>
              <w:rPr>
                <w:rFonts w:hint="default" w:ascii="Times New Roman" w:hAnsi="Times New Roman" w:eastAsia="仿宋_GB2312" w:cs="Times New Roman"/>
                <w:bCs/>
                <w:color w:val="000000"/>
                <w:sz w:val="24"/>
                <w:szCs w:val="24"/>
                <w:lang w:eastAsia="zh-CN"/>
              </w:rPr>
              <w:t>、技术支持人员</w:t>
            </w:r>
          </w:p>
        </w:tc>
      </w:tr>
      <w:tr>
        <w:tblPrEx>
          <w:tblCellMar>
            <w:top w:w="0" w:type="dxa"/>
            <w:left w:w="0" w:type="dxa"/>
            <w:bottom w:w="0" w:type="dxa"/>
            <w:right w:w="0" w:type="dxa"/>
          </w:tblCellMar>
        </w:tblPrEx>
        <w:trPr>
          <w:trHeight w:val="567" w:hRule="atLeast"/>
          <w:tblHeader/>
        </w:trPr>
        <w:tc>
          <w:tcPr>
            <w:tcW w:w="756" w:type="dxa"/>
            <w:vMerge w:val="continue"/>
            <w:tcBorders>
              <w:left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1264" w:type="dxa"/>
            <w:vMerge w:val="continue"/>
            <w:tcBorders>
              <w:left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3974" w:type="dxa"/>
            <w:tcBorders>
              <w:top w:val="single" w:color="auto" w:sz="4" w:space="0"/>
              <w:left w:val="single" w:color="000000" w:sz="4" w:space="0"/>
              <w:bottom w:val="single" w:color="000000"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r>
              <w:rPr>
                <w:rFonts w:hint="default" w:ascii="Times New Roman" w:hAnsi="Times New Roman" w:eastAsia="仿宋_GB2312" w:cs="Times New Roman"/>
                <w:bCs/>
                <w:color w:val="000000"/>
                <w:sz w:val="24"/>
                <w:szCs w:val="24"/>
                <w:lang w:eastAsia="zh-CN"/>
              </w:rPr>
              <w:t>裁判评判标准培训（裁判长对各模块裁判员进行故障点与评分细则说明）</w:t>
            </w:r>
          </w:p>
        </w:tc>
        <w:tc>
          <w:tcPr>
            <w:tcW w:w="2670" w:type="dxa"/>
            <w:vMerge w:val="continue"/>
            <w:tcBorders>
              <w:left w:val="single" w:color="000000"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r>
      <w:tr>
        <w:tblPrEx>
          <w:tblCellMar>
            <w:top w:w="0" w:type="dxa"/>
            <w:left w:w="0" w:type="dxa"/>
            <w:bottom w:w="0" w:type="dxa"/>
            <w:right w:w="0" w:type="dxa"/>
          </w:tblCellMar>
        </w:tblPrEx>
        <w:trPr>
          <w:trHeight w:val="567" w:hRule="atLeast"/>
          <w:tblHeader/>
        </w:trPr>
        <w:tc>
          <w:tcPr>
            <w:tcW w:w="756" w:type="dxa"/>
            <w:vMerge w:val="continue"/>
            <w:tcBorders>
              <w:left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1264" w:type="dxa"/>
            <w:vMerge w:val="continue"/>
            <w:tcBorders>
              <w:left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3974"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rPr>
            </w:pPr>
            <w:r>
              <w:rPr>
                <w:rFonts w:hint="default" w:ascii="Times New Roman" w:hAnsi="Times New Roman" w:eastAsia="仿宋_GB2312" w:cs="Times New Roman"/>
                <w:bCs/>
                <w:color w:val="000000"/>
                <w:sz w:val="24"/>
                <w:szCs w:val="24"/>
                <w:lang w:eastAsia="zh-CN"/>
              </w:rPr>
              <w:t>第1轮竞赛</w:t>
            </w:r>
          </w:p>
        </w:tc>
        <w:tc>
          <w:tcPr>
            <w:tcW w:w="2670" w:type="dxa"/>
            <w:vMerge w:val="continue"/>
            <w:tcBorders>
              <w:left w:val="single" w:color="000000"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rPr>
            </w:pPr>
          </w:p>
        </w:tc>
      </w:tr>
      <w:tr>
        <w:tblPrEx>
          <w:tblCellMar>
            <w:top w:w="0" w:type="dxa"/>
            <w:left w:w="0" w:type="dxa"/>
            <w:bottom w:w="0" w:type="dxa"/>
            <w:right w:w="0" w:type="dxa"/>
          </w:tblCellMar>
        </w:tblPrEx>
        <w:trPr>
          <w:trHeight w:val="567" w:hRule="atLeast"/>
          <w:tblHeader/>
        </w:trPr>
        <w:tc>
          <w:tcPr>
            <w:tcW w:w="756" w:type="dxa"/>
            <w:vMerge w:val="continue"/>
            <w:tcBorders>
              <w:left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rPr>
            </w:pPr>
          </w:p>
        </w:tc>
        <w:tc>
          <w:tcPr>
            <w:tcW w:w="1264" w:type="dxa"/>
            <w:vMerge w:val="continue"/>
            <w:tcBorders>
              <w:left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rPr>
            </w:pPr>
          </w:p>
        </w:tc>
        <w:tc>
          <w:tcPr>
            <w:tcW w:w="3974"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r>
              <w:rPr>
                <w:rFonts w:hint="default" w:ascii="Times New Roman" w:hAnsi="Times New Roman" w:eastAsia="仿宋_GB2312" w:cs="Times New Roman"/>
                <w:bCs/>
                <w:color w:val="000000"/>
                <w:sz w:val="24"/>
                <w:szCs w:val="24"/>
                <w:lang w:eastAsia="zh-CN"/>
              </w:rPr>
              <w:t>裁判员评判汇总成绩，恢复场地设备</w:t>
            </w:r>
          </w:p>
        </w:tc>
        <w:tc>
          <w:tcPr>
            <w:tcW w:w="2670" w:type="dxa"/>
            <w:vMerge w:val="continue"/>
            <w:tcBorders>
              <w:left w:val="single" w:color="000000"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r>
      <w:tr>
        <w:trPr>
          <w:trHeight w:val="567" w:hRule="atLeast"/>
          <w:tblHeader/>
        </w:trPr>
        <w:tc>
          <w:tcPr>
            <w:tcW w:w="756" w:type="dxa"/>
            <w:vMerge w:val="continue"/>
            <w:tcBorders>
              <w:left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1264" w:type="dxa"/>
            <w:vMerge w:val="continue"/>
            <w:tcBorders>
              <w:left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3974"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r>
              <w:rPr>
                <w:rFonts w:hint="default" w:ascii="Times New Roman" w:hAnsi="Times New Roman" w:eastAsia="仿宋_GB2312" w:cs="Times New Roman"/>
                <w:bCs/>
                <w:color w:val="000000"/>
                <w:sz w:val="24"/>
                <w:szCs w:val="24"/>
                <w:lang w:eastAsia="zh-CN"/>
              </w:rPr>
              <w:t>选手回休息室，抽取第2轮考位号</w:t>
            </w:r>
          </w:p>
        </w:tc>
        <w:tc>
          <w:tcPr>
            <w:tcW w:w="2670" w:type="dxa"/>
            <w:vMerge w:val="continue"/>
            <w:tcBorders>
              <w:left w:val="single" w:color="000000"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r>
      <w:tr>
        <w:tblPrEx>
          <w:tblCellMar>
            <w:top w:w="0" w:type="dxa"/>
            <w:left w:w="0" w:type="dxa"/>
            <w:bottom w:w="0" w:type="dxa"/>
            <w:right w:w="0" w:type="dxa"/>
          </w:tblCellMar>
        </w:tblPrEx>
        <w:trPr>
          <w:trHeight w:val="567" w:hRule="atLeast"/>
          <w:tblHeader/>
        </w:trPr>
        <w:tc>
          <w:tcPr>
            <w:tcW w:w="756" w:type="dxa"/>
            <w:vMerge w:val="continue"/>
            <w:tcBorders>
              <w:left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1264" w:type="dxa"/>
            <w:vMerge w:val="continue"/>
            <w:tcBorders>
              <w:left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3974"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rPr>
            </w:pPr>
            <w:r>
              <w:rPr>
                <w:rFonts w:hint="default" w:ascii="Times New Roman" w:hAnsi="Times New Roman" w:eastAsia="仿宋_GB2312" w:cs="Times New Roman"/>
                <w:bCs/>
                <w:color w:val="000000"/>
                <w:sz w:val="24"/>
                <w:szCs w:val="24"/>
                <w:lang w:eastAsia="zh-CN"/>
              </w:rPr>
              <w:t>第2轮竞赛</w:t>
            </w:r>
          </w:p>
        </w:tc>
        <w:tc>
          <w:tcPr>
            <w:tcW w:w="2670" w:type="dxa"/>
            <w:vMerge w:val="continue"/>
            <w:tcBorders>
              <w:left w:val="single" w:color="000000"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rPr>
            </w:pPr>
          </w:p>
        </w:tc>
      </w:tr>
      <w:tr>
        <w:tblPrEx>
          <w:tblCellMar>
            <w:top w:w="0" w:type="dxa"/>
            <w:left w:w="0" w:type="dxa"/>
            <w:bottom w:w="0" w:type="dxa"/>
            <w:right w:w="0" w:type="dxa"/>
          </w:tblCellMar>
        </w:tblPrEx>
        <w:trPr>
          <w:trHeight w:val="567" w:hRule="atLeast"/>
          <w:tblHeader/>
        </w:trPr>
        <w:tc>
          <w:tcPr>
            <w:tcW w:w="756" w:type="dxa"/>
            <w:vMerge w:val="continue"/>
            <w:tcBorders>
              <w:left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rPr>
            </w:pPr>
          </w:p>
        </w:tc>
        <w:tc>
          <w:tcPr>
            <w:tcW w:w="1264" w:type="dxa"/>
            <w:vMerge w:val="continue"/>
            <w:tcBorders>
              <w:left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rPr>
            </w:pPr>
          </w:p>
        </w:tc>
        <w:tc>
          <w:tcPr>
            <w:tcW w:w="3974"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rPr>
            </w:pPr>
            <w:r>
              <w:rPr>
                <w:rFonts w:hint="default" w:ascii="Times New Roman" w:hAnsi="Times New Roman" w:eastAsia="仿宋_GB2312" w:cs="Times New Roman"/>
                <w:bCs/>
                <w:color w:val="000000"/>
                <w:sz w:val="24"/>
                <w:szCs w:val="24"/>
                <w:lang w:eastAsia="zh-CN"/>
              </w:rPr>
              <w:t>裁判员评判汇总成绩，恢复场地设备</w:t>
            </w:r>
          </w:p>
        </w:tc>
        <w:tc>
          <w:tcPr>
            <w:tcW w:w="2670" w:type="dxa"/>
            <w:vMerge w:val="continue"/>
            <w:tcBorders>
              <w:left w:val="single" w:color="000000"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rPr>
            </w:pPr>
          </w:p>
        </w:tc>
      </w:tr>
      <w:tr>
        <w:tblPrEx>
          <w:tblCellMar>
            <w:top w:w="0" w:type="dxa"/>
            <w:left w:w="0" w:type="dxa"/>
            <w:bottom w:w="0" w:type="dxa"/>
            <w:right w:w="0" w:type="dxa"/>
          </w:tblCellMar>
        </w:tblPrEx>
        <w:trPr>
          <w:trHeight w:val="567" w:hRule="atLeast"/>
          <w:tblHeader/>
        </w:trPr>
        <w:tc>
          <w:tcPr>
            <w:tcW w:w="756" w:type="dxa"/>
            <w:vMerge w:val="continue"/>
            <w:tcBorders>
              <w:left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rPr>
            </w:pPr>
          </w:p>
        </w:tc>
        <w:tc>
          <w:tcPr>
            <w:tcW w:w="1264" w:type="dxa"/>
            <w:vMerge w:val="continue"/>
            <w:tcBorders>
              <w:left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rPr>
            </w:pPr>
          </w:p>
        </w:tc>
        <w:tc>
          <w:tcPr>
            <w:tcW w:w="3974"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rPr>
            </w:pPr>
            <w:r>
              <w:rPr>
                <w:rFonts w:hint="default" w:ascii="Times New Roman" w:hAnsi="Times New Roman" w:eastAsia="仿宋_GB2312" w:cs="Times New Roman"/>
                <w:bCs/>
                <w:color w:val="000000"/>
                <w:sz w:val="24"/>
                <w:szCs w:val="24"/>
                <w:lang w:eastAsia="zh-CN"/>
              </w:rPr>
              <w:t>选手回休息室，抽取第3轮考位号</w:t>
            </w:r>
          </w:p>
        </w:tc>
        <w:tc>
          <w:tcPr>
            <w:tcW w:w="2670" w:type="dxa"/>
            <w:vMerge w:val="continue"/>
            <w:tcBorders>
              <w:left w:val="single" w:color="000000"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rPr>
            </w:pPr>
          </w:p>
        </w:tc>
      </w:tr>
      <w:tr>
        <w:tblPrEx>
          <w:tblCellMar>
            <w:top w:w="0" w:type="dxa"/>
            <w:left w:w="0" w:type="dxa"/>
            <w:bottom w:w="0" w:type="dxa"/>
            <w:right w:w="0" w:type="dxa"/>
          </w:tblCellMar>
        </w:tblPrEx>
        <w:trPr>
          <w:trHeight w:val="567" w:hRule="atLeast"/>
          <w:tblHeader/>
        </w:trPr>
        <w:tc>
          <w:tcPr>
            <w:tcW w:w="756" w:type="dxa"/>
            <w:vMerge w:val="continue"/>
            <w:tcBorders>
              <w:left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rPr>
            </w:pPr>
          </w:p>
        </w:tc>
        <w:tc>
          <w:tcPr>
            <w:tcW w:w="1264" w:type="dxa"/>
            <w:vMerge w:val="continue"/>
            <w:tcBorders>
              <w:left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rPr>
            </w:pPr>
          </w:p>
        </w:tc>
        <w:tc>
          <w:tcPr>
            <w:tcW w:w="3974"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rPr>
            </w:pPr>
            <w:r>
              <w:rPr>
                <w:rFonts w:hint="default" w:ascii="Times New Roman" w:hAnsi="Times New Roman" w:eastAsia="仿宋_GB2312" w:cs="Times New Roman"/>
                <w:bCs/>
                <w:color w:val="000000"/>
                <w:sz w:val="24"/>
                <w:szCs w:val="24"/>
                <w:lang w:eastAsia="zh-CN"/>
              </w:rPr>
              <w:t>第3轮竞赛</w:t>
            </w:r>
          </w:p>
        </w:tc>
        <w:tc>
          <w:tcPr>
            <w:tcW w:w="2670" w:type="dxa"/>
            <w:vMerge w:val="continue"/>
            <w:tcBorders>
              <w:left w:val="single" w:color="000000"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rPr>
            </w:pPr>
          </w:p>
        </w:tc>
      </w:tr>
      <w:tr>
        <w:tblPrEx>
          <w:tblCellMar>
            <w:top w:w="0" w:type="dxa"/>
            <w:left w:w="0" w:type="dxa"/>
            <w:bottom w:w="0" w:type="dxa"/>
            <w:right w:w="0" w:type="dxa"/>
          </w:tblCellMar>
        </w:tblPrEx>
        <w:trPr>
          <w:trHeight w:val="567" w:hRule="atLeast"/>
          <w:tblHeader/>
        </w:trPr>
        <w:tc>
          <w:tcPr>
            <w:tcW w:w="756" w:type="dxa"/>
            <w:vMerge w:val="continue"/>
            <w:tcBorders>
              <w:left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rPr>
            </w:pPr>
          </w:p>
        </w:tc>
        <w:tc>
          <w:tcPr>
            <w:tcW w:w="1264" w:type="dxa"/>
            <w:vMerge w:val="continue"/>
            <w:tcBorders>
              <w:left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rPr>
            </w:pPr>
          </w:p>
        </w:tc>
        <w:tc>
          <w:tcPr>
            <w:tcW w:w="3974"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r>
              <w:rPr>
                <w:rFonts w:hint="default" w:ascii="Times New Roman" w:hAnsi="Times New Roman" w:eastAsia="仿宋_GB2312" w:cs="Times New Roman"/>
                <w:bCs/>
                <w:color w:val="000000"/>
                <w:sz w:val="24"/>
                <w:szCs w:val="24"/>
                <w:lang w:eastAsia="zh-CN"/>
              </w:rPr>
              <w:t>裁判员评判汇总成绩，恢复场地设备</w:t>
            </w:r>
          </w:p>
        </w:tc>
        <w:tc>
          <w:tcPr>
            <w:tcW w:w="2670" w:type="dxa"/>
            <w:vMerge w:val="continue"/>
            <w:tcBorders>
              <w:left w:val="single" w:color="000000"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r>
      <w:tr>
        <w:tblPrEx>
          <w:tblCellMar>
            <w:top w:w="0" w:type="dxa"/>
            <w:left w:w="0" w:type="dxa"/>
            <w:bottom w:w="0" w:type="dxa"/>
            <w:right w:w="0" w:type="dxa"/>
          </w:tblCellMar>
        </w:tblPrEx>
        <w:trPr>
          <w:trHeight w:val="567" w:hRule="atLeast"/>
          <w:tblHeader/>
        </w:trPr>
        <w:tc>
          <w:tcPr>
            <w:tcW w:w="756" w:type="dxa"/>
            <w:vMerge w:val="continue"/>
            <w:tcBorders>
              <w:left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1264" w:type="dxa"/>
            <w:vMerge w:val="continue"/>
            <w:tcBorders>
              <w:left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3974"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r>
              <w:rPr>
                <w:rFonts w:hint="default" w:ascii="Times New Roman" w:hAnsi="Times New Roman" w:eastAsia="仿宋_GB2312" w:cs="Times New Roman"/>
                <w:bCs/>
                <w:color w:val="000000"/>
                <w:sz w:val="24"/>
                <w:szCs w:val="24"/>
                <w:lang w:eastAsia="zh-CN"/>
              </w:rPr>
              <w:t>选手回休息室，抽取第4轮考位号</w:t>
            </w:r>
          </w:p>
        </w:tc>
        <w:tc>
          <w:tcPr>
            <w:tcW w:w="2670" w:type="dxa"/>
            <w:vMerge w:val="continue"/>
            <w:tcBorders>
              <w:left w:val="single" w:color="000000"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r>
      <w:tr>
        <w:tblPrEx>
          <w:tblCellMar>
            <w:top w:w="0" w:type="dxa"/>
            <w:left w:w="0" w:type="dxa"/>
            <w:bottom w:w="0" w:type="dxa"/>
            <w:right w:w="0" w:type="dxa"/>
          </w:tblCellMar>
        </w:tblPrEx>
        <w:trPr>
          <w:trHeight w:val="567" w:hRule="atLeast"/>
          <w:tblHeader/>
        </w:trPr>
        <w:tc>
          <w:tcPr>
            <w:tcW w:w="756" w:type="dxa"/>
            <w:vMerge w:val="continue"/>
            <w:tcBorders>
              <w:left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1264" w:type="dxa"/>
            <w:vMerge w:val="continue"/>
            <w:tcBorders>
              <w:left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3974"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rPr>
            </w:pPr>
            <w:r>
              <w:rPr>
                <w:rFonts w:hint="default" w:ascii="Times New Roman" w:hAnsi="Times New Roman" w:eastAsia="仿宋_GB2312" w:cs="Times New Roman"/>
                <w:bCs/>
                <w:color w:val="000000"/>
                <w:sz w:val="24"/>
                <w:szCs w:val="24"/>
                <w:lang w:eastAsia="zh-CN"/>
              </w:rPr>
              <w:t>第4轮竞赛</w:t>
            </w:r>
          </w:p>
        </w:tc>
        <w:tc>
          <w:tcPr>
            <w:tcW w:w="2670" w:type="dxa"/>
            <w:vMerge w:val="continue"/>
            <w:tcBorders>
              <w:left w:val="single" w:color="000000"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rPr>
            </w:pPr>
          </w:p>
        </w:tc>
      </w:tr>
      <w:tr>
        <w:tblPrEx>
          <w:tblCellMar>
            <w:top w:w="0" w:type="dxa"/>
            <w:left w:w="0" w:type="dxa"/>
            <w:bottom w:w="0" w:type="dxa"/>
            <w:right w:w="0" w:type="dxa"/>
          </w:tblCellMar>
        </w:tblPrEx>
        <w:trPr>
          <w:trHeight w:val="567" w:hRule="atLeast"/>
          <w:tblHeader/>
        </w:trPr>
        <w:tc>
          <w:tcPr>
            <w:tcW w:w="756" w:type="dxa"/>
            <w:vMerge w:val="continue"/>
            <w:tcBorders>
              <w:left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rPr>
            </w:pPr>
          </w:p>
        </w:tc>
        <w:tc>
          <w:tcPr>
            <w:tcW w:w="1264" w:type="dxa"/>
            <w:vMerge w:val="continue"/>
            <w:tcBorders>
              <w:left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rPr>
            </w:pPr>
          </w:p>
        </w:tc>
        <w:tc>
          <w:tcPr>
            <w:tcW w:w="3974"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r>
              <w:rPr>
                <w:rFonts w:hint="default" w:ascii="Times New Roman" w:hAnsi="Times New Roman" w:eastAsia="仿宋_GB2312" w:cs="Times New Roman"/>
                <w:bCs/>
                <w:color w:val="000000"/>
                <w:sz w:val="24"/>
                <w:szCs w:val="24"/>
                <w:lang w:eastAsia="zh-CN"/>
              </w:rPr>
              <w:t>裁判员评判汇总成绩，恢复场地设备</w:t>
            </w:r>
          </w:p>
        </w:tc>
        <w:tc>
          <w:tcPr>
            <w:tcW w:w="2670" w:type="dxa"/>
            <w:vMerge w:val="continue"/>
            <w:tcBorders>
              <w:left w:val="single" w:color="000000"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r>
      <w:tr>
        <w:tblPrEx>
          <w:tblCellMar>
            <w:top w:w="0" w:type="dxa"/>
            <w:left w:w="0" w:type="dxa"/>
            <w:bottom w:w="0" w:type="dxa"/>
            <w:right w:w="0" w:type="dxa"/>
          </w:tblCellMar>
        </w:tblPrEx>
        <w:trPr>
          <w:trHeight w:val="567" w:hRule="atLeast"/>
          <w:tblHeader/>
        </w:trPr>
        <w:tc>
          <w:tcPr>
            <w:tcW w:w="756" w:type="dxa"/>
            <w:vMerge w:val="continue"/>
            <w:tcBorders>
              <w:left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1264" w:type="dxa"/>
            <w:vMerge w:val="continue"/>
            <w:tcBorders>
              <w:left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3974" w:type="dxa"/>
            <w:tcBorders>
              <w:top w:val="single" w:color="000000" w:sz="4" w:space="0"/>
              <w:left w:val="single" w:color="000000" w:sz="4" w:space="0"/>
              <w:bottom w:val="single" w:color="000000"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r>
              <w:rPr>
                <w:rFonts w:hint="default" w:ascii="Times New Roman" w:hAnsi="Times New Roman" w:eastAsia="仿宋_GB2312" w:cs="Times New Roman"/>
                <w:bCs/>
                <w:color w:val="000000"/>
                <w:sz w:val="24"/>
                <w:szCs w:val="24"/>
                <w:lang w:eastAsia="zh-CN"/>
              </w:rPr>
              <w:t>选手回休息室，抽取第5轮考位号</w:t>
            </w:r>
          </w:p>
        </w:tc>
        <w:tc>
          <w:tcPr>
            <w:tcW w:w="2670" w:type="dxa"/>
            <w:vMerge w:val="continue"/>
            <w:tcBorders>
              <w:left w:val="single" w:color="000000"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r>
      <w:tr>
        <w:tblPrEx>
          <w:tblCellMar>
            <w:top w:w="0" w:type="dxa"/>
            <w:left w:w="0" w:type="dxa"/>
            <w:bottom w:w="0" w:type="dxa"/>
            <w:right w:w="0" w:type="dxa"/>
          </w:tblCellMar>
        </w:tblPrEx>
        <w:trPr>
          <w:trHeight w:val="567" w:hRule="atLeast"/>
          <w:tblHeader/>
        </w:trPr>
        <w:tc>
          <w:tcPr>
            <w:tcW w:w="756" w:type="dxa"/>
            <w:vMerge w:val="continue"/>
            <w:tcBorders>
              <w:left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1264" w:type="dxa"/>
            <w:vMerge w:val="continue"/>
            <w:tcBorders>
              <w:left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3974" w:type="dxa"/>
            <w:tcBorders>
              <w:top w:val="single" w:color="auto" w:sz="4" w:space="0"/>
              <w:left w:val="single" w:color="000000" w:sz="4" w:space="0"/>
              <w:bottom w:val="single" w:color="000000"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r>
              <w:rPr>
                <w:rFonts w:hint="default" w:ascii="Times New Roman" w:hAnsi="Times New Roman" w:eastAsia="仿宋_GB2312" w:cs="Times New Roman"/>
                <w:bCs/>
                <w:color w:val="000000"/>
                <w:sz w:val="24"/>
                <w:szCs w:val="24"/>
                <w:lang w:eastAsia="zh-CN"/>
              </w:rPr>
              <w:t>第5轮竞赛</w:t>
            </w:r>
          </w:p>
        </w:tc>
        <w:tc>
          <w:tcPr>
            <w:tcW w:w="2670" w:type="dxa"/>
            <w:vMerge w:val="continue"/>
            <w:tcBorders>
              <w:left w:val="single" w:color="000000"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r>
      <w:tr>
        <w:tblPrEx>
          <w:tblCellMar>
            <w:top w:w="0" w:type="dxa"/>
            <w:left w:w="0" w:type="dxa"/>
            <w:bottom w:w="0" w:type="dxa"/>
            <w:right w:w="0" w:type="dxa"/>
          </w:tblCellMar>
        </w:tblPrEx>
        <w:trPr>
          <w:trHeight w:val="531" w:hRule="atLeast"/>
          <w:tblHeader/>
        </w:trPr>
        <w:tc>
          <w:tcPr>
            <w:tcW w:w="756" w:type="dxa"/>
            <w:vMerge w:val="continue"/>
            <w:tcBorders>
              <w:left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1264" w:type="dxa"/>
            <w:vMerge w:val="continue"/>
            <w:tcBorders>
              <w:left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3974" w:type="dxa"/>
            <w:tcBorders>
              <w:top w:val="single" w:color="auto" w:sz="4" w:space="0"/>
              <w:left w:val="single" w:color="000000" w:sz="4" w:space="0"/>
              <w:bottom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r>
              <w:rPr>
                <w:rFonts w:hint="default" w:ascii="Times New Roman" w:hAnsi="Times New Roman" w:eastAsia="仿宋_GB2312" w:cs="Times New Roman"/>
                <w:bCs/>
                <w:color w:val="000000"/>
                <w:sz w:val="24"/>
                <w:szCs w:val="24"/>
                <w:lang w:eastAsia="zh-CN"/>
              </w:rPr>
              <w:t>裁判员评判汇总成绩，恢复场地设备</w:t>
            </w:r>
          </w:p>
        </w:tc>
        <w:tc>
          <w:tcPr>
            <w:tcW w:w="2670" w:type="dxa"/>
            <w:vMerge w:val="continue"/>
            <w:tcBorders>
              <w:left w:val="single" w:color="000000"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r>
      <w:tr>
        <w:tblPrEx>
          <w:tblCellMar>
            <w:top w:w="0" w:type="dxa"/>
            <w:left w:w="0" w:type="dxa"/>
            <w:bottom w:w="0" w:type="dxa"/>
            <w:right w:w="0" w:type="dxa"/>
          </w:tblCellMar>
        </w:tblPrEx>
        <w:trPr>
          <w:trHeight w:val="567" w:hRule="atLeast"/>
          <w:tblHeader/>
        </w:trPr>
        <w:tc>
          <w:tcPr>
            <w:tcW w:w="756" w:type="dxa"/>
            <w:vMerge w:val="continue"/>
            <w:tcBorders>
              <w:left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1264" w:type="dxa"/>
            <w:vMerge w:val="continue"/>
            <w:tcBorders>
              <w:left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3974"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r>
              <w:rPr>
                <w:rFonts w:hint="default" w:ascii="Times New Roman" w:hAnsi="Times New Roman" w:eastAsia="仿宋_GB2312" w:cs="Times New Roman"/>
                <w:bCs/>
                <w:color w:val="000000"/>
                <w:sz w:val="24"/>
                <w:szCs w:val="24"/>
                <w:lang w:eastAsia="zh-CN"/>
              </w:rPr>
              <w:t>选手回休息室，抽取第</w:t>
            </w:r>
            <w:r>
              <w:rPr>
                <w:rFonts w:hint="default" w:ascii="Times New Roman" w:hAnsi="Times New Roman" w:eastAsia="仿宋_GB2312" w:cs="Times New Roman"/>
                <w:bCs/>
                <w:color w:val="000000"/>
                <w:sz w:val="24"/>
                <w:szCs w:val="24"/>
                <w:lang w:val="en-US" w:eastAsia="zh-CN"/>
              </w:rPr>
              <w:t>6</w:t>
            </w:r>
            <w:r>
              <w:rPr>
                <w:rFonts w:hint="default" w:ascii="Times New Roman" w:hAnsi="Times New Roman" w:eastAsia="仿宋_GB2312" w:cs="Times New Roman"/>
                <w:bCs/>
                <w:color w:val="000000"/>
                <w:sz w:val="24"/>
                <w:szCs w:val="24"/>
                <w:lang w:eastAsia="zh-CN"/>
              </w:rPr>
              <w:t>轮考位号</w:t>
            </w:r>
          </w:p>
        </w:tc>
        <w:tc>
          <w:tcPr>
            <w:tcW w:w="2670" w:type="dxa"/>
            <w:vMerge w:val="continue"/>
            <w:tcBorders>
              <w:left w:val="single" w:color="000000"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r>
      <w:tr>
        <w:tblPrEx>
          <w:tblCellMar>
            <w:top w:w="0" w:type="dxa"/>
            <w:left w:w="0" w:type="dxa"/>
            <w:bottom w:w="0" w:type="dxa"/>
            <w:right w:w="0" w:type="dxa"/>
          </w:tblCellMar>
        </w:tblPrEx>
        <w:trPr>
          <w:trHeight w:val="567" w:hRule="atLeast"/>
          <w:tblHeader/>
        </w:trPr>
        <w:tc>
          <w:tcPr>
            <w:tcW w:w="756" w:type="dxa"/>
            <w:vMerge w:val="continue"/>
            <w:tcBorders>
              <w:left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1264" w:type="dxa"/>
            <w:vMerge w:val="continue"/>
            <w:tcBorders>
              <w:left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3974"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val="en-US" w:eastAsia="zh-CN" w:bidi="ar-SA"/>
              </w:rPr>
            </w:pPr>
            <w:r>
              <w:rPr>
                <w:rFonts w:hint="default" w:ascii="Times New Roman" w:hAnsi="Times New Roman" w:eastAsia="仿宋_GB2312" w:cs="Times New Roman"/>
                <w:bCs/>
                <w:color w:val="000000"/>
                <w:sz w:val="24"/>
                <w:szCs w:val="24"/>
                <w:lang w:eastAsia="zh-CN"/>
              </w:rPr>
              <w:t>第</w:t>
            </w:r>
            <w:r>
              <w:rPr>
                <w:rFonts w:hint="default" w:ascii="Times New Roman" w:hAnsi="Times New Roman" w:eastAsia="仿宋_GB2312" w:cs="Times New Roman"/>
                <w:bCs/>
                <w:color w:val="000000"/>
                <w:sz w:val="24"/>
                <w:szCs w:val="24"/>
                <w:lang w:val="en-US" w:eastAsia="zh-CN"/>
              </w:rPr>
              <w:t>6</w:t>
            </w:r>
            <w:r>
              <w:rPr>
                <w:rFonts w:hint="default" w:ascii="Times New Roman" w:hAnsi="Times New Roman" w:eastAsia="仿宋_GB2312" w:cs="Times New Roman"/>
                <w:bCs/>
                <w:color w:val="000000"/>
                <w:sz w:val="24"/>
                <w:szCs w:val="24"/>
                <w:lang w:eastAsia="zh-CN"/>
              </w:rPr>
              <w:t>轮竞赛</w:t>
            </w:r>
          </w:p>
        </w:tc>
        <w:tc>
          <w:tcPr>
            <w:tcW w:w="2670" w:type="dxa"/>
            <w:vMerge w:val="continue"/>
            <w:tcBorders>
              <w:left w:val="single" w:color="000000"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r>
      <w:tr>
        <w:tblPrEx>
          <w:tblCellMar>
            <w:top w:w="0" w:type="dxa"/>
            <w:left w:w="0" w:type="dxa"/>
            <w:bottom w:w="0" w:type="dxa"/>
            <w:right w:w="0" w:type="dxa"/>
          </w:tblCellMar>
        </w:tblPrEx>
        <w:trPr>
          <w:trHeight w:val="567" w:hRule="atLeast"/>
          <w:tblHeader/>
        </w:trPr>
        <w:tc>
          <w:tcPr>
            <w:tcW w:w="756" w:type="dxa"/>
            <w:vMerge w:val="continue"/>
            <w:tcBorders>
              <w:left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1264" w:type="dxa"/>
            <w:vMerge w:val="continue"/>
            <w:tcBorders>
              <w:left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3974"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val="en-US" w:eastAsia="zh-CN" w:bidi="ar-SA"/>
              </w:rPr>
            </w:pPr>
            <w:r>
              <w:rPr>
                <w:rFonts w:hint="default" w:ascii="Times New Roman" w:hAnsi="Times New Roman" w:eastAsia="仿宋_GB2312" w:cs="Times New Roman"/>
                <w:bCs/>
                <w:color w:val="000000"/>
                <w:sz w:val="24"/>
                <w:szCs w:val="24"/>
                <w:lang w:eastAsia="zh-CN"/>
              </w:rPr>
              <w:t>裁判员评判汇总成绩，恢复场地设备</w:t>
            </w:r>
          </w:p>
        </w:tc>
        <w:tc>
          <w:tcPr>
            <w:tcW w:w="2670" w:type="dxa"/>
            <w:vMerge w:val="continue"/>
            <w:tcBorders>
              <w:left w:val="single" w:color="000000"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r>
      <w:tr>
        <w:tblPrEx>
          <w:tblCellMar>
            <w:top w:w="0" w:type="dxa"/>
            <w:left w:w="0" w:type="dxa"/>
            <w:bottom w:w="0" w:type="dxa"/>
            <w:right w:w="0" w:type="dxa"/>
          </w:tblCellMar>
        </w:tblPrEx>
        <w:trPr>
          <w:trHeight w:val="567" w:hRule="atLeast"/>
          <w:tblHeader/>
        </w:trPr>
        <w:tc>
          <w:tcPr>
            <w:tcW w:w="756" w:type="dxa"/>
            <w:vMerge w:val="continue"/>
            <w:tcBorders>
              <w:left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1264" w:type="dxa"/>
            <w:vMerge w:val="continue"/>
            <w:tcBorders>
              <w:left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3974"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val="en-US" w:eastAsia="zh-CN" w:bidi="ar-SA"/>
              </w:rPr>
            </w:pPr>
            <w:r>
              <w:rPr>
                <w:rFonts w:hint="default" w:ascii="Times New Roman" w:hAnsi="Times New Roman" w:eastAsia="仿宋_GB2312" w:cs="Times New Roman"/>
                <w:bCs/>
                <w:color w:val="000000"/>
                <w:sz w:val="24"/>
                <w:szCs w:val="24"/>
                <w:lang w:eastAsia="zh-CN"/>
              </w:rPr>
              <w:t>选手回休息室，抽取第</w:t>
            </w:r>
            <w:r>
              <w:rPr>
                <w:rFonts w:hint="default" w:ascii="Times New Roman" w:hAnsi="Times New Roman" w:eastAsia="仿宋_GB2312" w:cs="Times New Roman"/>
                <w:bCs/>
                <w:color w:val="000000"/>
                <w:sz w:val="24"/>
                <w:szCs w:val="24"/>
                <w:lang w:val="en-US" w:eastAsia="zh-CN"/>
              </w:rPr>
              <w:t>7</w:t>
            </w:r>
            <w:r>
              <w:rPr>
                <w:rFonts w:hint="default" w:ascii="Times New Roman" w:hAnsi="Times New Roman" w:eastAsia="仿宋_GB2312" w:cs="Times New Roman"/>
                <w:bCs/>
                <w:color w:val="000000"/>
                <w:sz w:val="24"/>
                <w:szCs w:val="24"/>
                <w:lang w:eastAsia="zh-CN"/>
              </w:rPr>
              <w:t>轮考位号</w:t>
            </w:r>
          </w:p>
        </w:tc>
        <w:tc>
          <w:tcPr>
            <w:tcW w:w="2670" w:type="dxa"/>
            <w:vMerge w:val="continue"/>
            <w:tcBorders>
              <w:left w:val="single" w:color="000000"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r>
      <w:tr>
        <w:tblPrEx>
          <w:tblCellMar>
            <w:top w:w="0" w:type="dxa"/>
            <w:left w:w="0" w:type="dxa"/>
            <w:bottom w:w="0" w:type="dxa"/>
            <w:right w:w="0" w:type="dxa"/>
          </w:tblCellMar>
        </w:tblPrEx>
        <w:trPr>
          <w:trHeight w:val="567" w:hRule="atLeast"/>
          <w:tblHeader/>
        </w:trPr>
        <w:tc>
          <w:tcPr>
            <w:tcW w:w="756" w:type="dxa"/>
            <w:vMerge w:val="continue"/>
            <w:tcBorders>
              <w:left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1264" w:type="dxa"/>
            <w:vMerge w:val="continue"/>
            <w:tcBorders>
              <w:left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3974"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val="en-US" w:eastAsia="zh-CN" w:bidi="ar-SA"/>
              </w:rPr>
            </w:pPr>
            <w:r>
              <w:rPr>
                <w:rFonts w:hint="default" w:ascii="Times New Roman" w:hAnsi="Times New Roman" w:eastAsia="仿宋_GB2312" w:cs="Times New Roman"/>
                <w:bCs/>
                <w:color w:val="000000"/>
                <w:sz w:val="24"/>
                <w:szCs w:val="24"/>
                <w:lang w:eastAsia="zh-CN"/>
              </w:rPr>
              <w:t>第</w:t>
            </w:r>
            <w:r>
              <w:rPr>
                <w:rFonts w:hint="default" w:ascii="Times New Roman" w:hAnsi="Times New Roman" w:eastAsia="仿宋_GB2312" w:cs="Times New Roman"/>
                <w:bCs/>
                <w:color w:val="000000"/>
                <w:sz w:val="24"/>
                <w:szCs w:val="24"/>
                <w:lang w:val="en-US" w:eastAsia="zh-CN"/>
              </w:rPr>
              <w:t>7</w:t>
            </w:r>
            <w:r>
              <w:rPr>
                <w:rFonts w:hint="default" w:ascii="Times New Roman" w:hAnsi="Times New Roman" w:eastAsia="仿宋_GB2312" w:cs="Times New Roman"/>
                <w:bCs/>
                <w:color w:val="000000"/>
                <w:sz w:val="24"/>
                <w:szCs w:val="24"/>
                <w:lang w:eastAsia="zh-CN"/>
              </w:rPr>
              <w:t>轮竞赛</w:t>
            </w:r>
          </w:p>
        </w:tc>
        <w:tc>
          <w:tcPr>
            <w:tcW w:w="2670" w:type="dxa"/>
            <w:vMerge w:val="continue"/>
            <w:tcBorders>
              <w:left w:val="single" w:color="000000"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r>
      <w:tr>
        <w:tblPrEx>
          <w:tblCellMar>
            <w:top w:w="0" w:type="dxa"/>
            <w:left w:w="0" w:type="dxa"/>
            <w:bottom w:w="0" w:type="dxa"/>
            <w:right w:w="0" w:type="dxa"/>
          </w:tblCellMar>
        </w:tblPrEx>
        <w:trPr>
          <w:trHeight w:val="567" w:hRule="atLeast"/>
          <w:tblHeader/>
        </w:trPr>
        <w:tc>
          <w:tcPr>
            <w:tcW w:w="756" w:type="dxa"/>
            <w:vMerge w:val="continue"/>
            <w:tcBorders>
              <w:left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1264" w:type="dxa"/>
            <w:vMerge w:val="continue"/>
            <w:tcBorders>
              <w:left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3974"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val="en-US" w:eastAsia="zh-CN" w:bidi="ar-SA"/>
              </w:rPr>
            </w:pPr>
            <w:r>
              <w:rPr>
                <w:rFonts w:hint="default" w:ascii="Times New Roman" w:hAnsi="Times New Roman" w:eastAsia="仿宋_GB2312" w:cs="Times New Roman"/>
                <w:bCs/>
                <w:color w:val="000000"/>
                <w:sz w:val="24"/>
                <w:szCs w:val="24"/>
                <w:lang w:eastAsia="zh-CN"/>
              </w:rPr>
              <w:t>裁判员评判汇总成绩，恢复场地设备</w:t>
            </w:r>
          </w:p>
        </w:tc>
        <w:tc>
          <w:tcPr>
            <w:tcW w:w="2670" w:type="dxa"/>
            <w:vMerge w:val="continue"/>
            <w:tcBorders>
              <w:left w:val="single" w:color="000000"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r>
      <w:tr>
        <w:tblPrEx>
          <w:tblCellMar>
            <w:top w:w="0" w:type="dxa"/>
            <w:left w:w="0" w:type="dxa"/>
            <w:bottom w:w="0" w:type="dxa"/>
            <w:right w:w="0" w:type="dxa"/>
          </w:tblCellMar>
        </w:tblPrEx>
        <w:trPr>
          <w:trHeight w:val="567" w:hRule="atLeast"/>
          <w:tblHeader/>
        </w:trPr>
        <w:tc>
          <w:tcPr>
            <w:tcW w:w="756" w:type="dxa"/>
            <w:vMerge w:val="continue"/>
            <w:tcBorders>
              <w:left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1264" w:type="dxa"/>
            <w:vMerge w:val="continue"/>
            <w:tcBorders>
              <w:left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3974"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val="en-US" w:eastAsia="zh-CN" w:bidi="ar-SA"/>
              </w:rPr>
            </w:pPr>
            <w:r>
              <w:rPr>
                <w:rFonts w:hint="default" w:ascii="Times New Roman" w:hAnsi="Times New Roman" w:eastAsia="仿宋_GB2312" w:cs="Times New Roman"/>
                <w:bCs/>
                <w:color w:val="000000"/>
                <w:sz w:val="24"/>
                <w:szCs w:val="24"/>
                <w:lang w:eastAsia="zh-CN"/>
              </w:rPr>
              <w:t>选手回休息室，抽取第</w:t>
            </w:r>
            <w:r>
              <w:rPr>
                <w:rFonts w:hint="default" w:ascii="Times New Roman" w:hAnsi="Times New Roman" w:eastAsia="仿宋_GB2312" w:cs="Times New Roman"/>
                <w:bCs/>
                <w:color w:val="000000"/>
                <w:sz w:val="24"/>
                <w:szCs w:val="24"/>
                <w:lang w:val="en-US" w:eastAsia="zh-CN"/>
              </w:rPr>
              <w:t>8</w:t>
            </w:r>
            <w:r>
              <w:rPr>
                <w:rFonts w:hint="default" w:ascii="Times New Roman" w:hAnsi="Times New Roman" w:eastAsia="仿宋_GB2312" w:cs="Times New Roman"/>
                <w:bCs/>
                <w:color w:val="000000"/>
                <w:sz w:val="24"/>
                <w:szCs w:val="24"/>
                <w:lang w:eastAsia="zh-CN"/>
              </w:rPr>
              <w:t>轮考位号</w:t>
            </w:r>
          </w:p>
        </w:tc>
        <w:tc>
          <w:tcPr>
            <w:tcW w:w="2670" w:type="dxa"/>
            <w:vMerge w:val="continue"/>
            <w:tcBorders>
              <w:left w:val="single" w:color="000000"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r>
      <w:tr>
        <w:tblPrEx>
          <w:tblCellMar>
            <w:top w:w="0" w:type="dxa"/>
            <w:left w:w="0" w:type="dxa"/>
            <w:bottom w:w="0" w:type="dxa"/>
            <w:right w:w="0" w:type="dxa"/>
          </w:tblCellMar>
        </w:tblPrEx>
        <w:trPr>
          <w:trHeight w:val="567" w:hRule="atLeast"/>
          <w:tblHeader/>
        </w:trPr>
        <w:tc>
          <w:tcPr>
            <w:tcW w:w="756" w:type="dxa"/>
            <w:vMerge w:val="continue"/>
            <w:tcBorders>
              <w:left w:val="single" w:color="auto" w:sz="4" w:space="0"/>
              <w:bottom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1264" w:type="dxa"/>
            <w:vMerge w:val="continue"/>
            <w:tcBorders>
              <w:left w:val="single" w:color="auto" w:sz="4" w:space="0"/>
              <w:bottom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3974"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r>
              <w:rPr>
                <w:rFonts w:hint="default" w:ascii="Times New Roman" w:hAnsi="Times New Roman" w:eastAsia="仿宋_GB2312" w:cs="Times New Roman"/>
                <w:bCs/>
                <w:color w:val="000000"/>
                <w:sz w:val="24"/>
                <w:szCs w:val="24"/>
                <w:lang w:eastAsia="zh-CN"/>
              </w:rPr>
              <w:t>第</w:t>
            </w:r>
            <w:r>
              <w:rPr>
                <w:rFonts w:hint="default" w:ascii="Times New Roman" w:hAnsi="Times New Roman" w:eastAsia="仿宋_GB2312" w:cs="Times New Roman"/>
                <w:bCs/>
                <w:color w:val="000000"/>
                <w:sz w:val="24"/>
                <w:szCs w:val="24"/>
                <w:lang w:val="en-US" w:eastAsia="zh-CN"/>
              </w:rPr>
              <w:t>8</w:t>
            </w:r>
            <w:r>
              <w:rPr>
                <w:rFonts w:hint="default" w:ascii="Times New Roman" w:hAnsi="Times New Roman" w:eastAsia="仿宋_GB2312" w:cs="Times New Roman"/>
                <w:bCs/>
                <w:color w:val="000000"/>
                <w:sz w:val="24"/>
                <w:szCs w:val="24"/>
                <w:lang w:eastAsia="zh-CN"/>
              </w:rPr>
              <w:t>轮竞赛</w:t>
            </w:r>
          </w:p>
        </w:tc>
        <w:tc>
          <w:tcPr>
            <w:tcW w:w="2670" w:type="dxa"/>
            <w:vMerge w:val="continue"/>
            <w:tcBorders>
              <w:left w:val="single" w:color="000000" w:sz="4" w:space="0"/>
              <w:bottom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r>
      <w:tr>
        <w:tblPrEx>
          <w:tblCellMar>
            <w:top w:w="0" w:type="dxa"/>
            <w:left w:w="0" w:type="dxa"/>
            <w:bottom w:w="0" w:type="dxa"/>
            <w:right w:w="0" w:type="dxa"/>
          </w:tblCellMar>
        </w:tblPrEx>
        <w:trPr>
          <w:trHeight w:val="567" w:hRule="atLeast"/>
          <w:tblHeader/>
        </w:trPr>
        <w:tc>
          <w:tcPr>
            <w:tcW w:w="756" w:type="dxa"/>
            <w:vMerge w:val="continue"/>
            <w:tcBorders>
              <w:left w:val="single" w:color="auto" w:sz="4" w:space="0"/>
              <w:bottom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1264" w:type="dxa"/>
            <w:vMerge w:val="continue"/>
            <w:tcBorders>
              <w:left w:val="single" w:color="auto" w:sz="4" w:space="0"/>
              <w:bottom w:val="single" w:color="auto" w:sz="4" w:space="0"/>
              <w:right w:val="single" w:color="000000"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c>
          <w:tcPr>
            <w:tcW w:w="3974"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val="en-US" w:eastAsia="zh-CN" w:bidi="ar-SA"/>
              </w:rPr>
            </w:pPr>
            <w:r>
              <w:rPr>
                <w:rFonts w:hint="default" w:ascii="Times New Roman" w:hAnsi="Times New Roman" w:eastAsia="仿宋_GB2312" w:cs="Times New Roman"/>
                <w:bCs/>
                <w:color w:val="000000"/>
                <w:sz w:val="24"/>
                <w:szCs w:val="24"/>
                <w:lang w:eastAsia="zh-CN"/>
              </w:rPr>
              <w:t>裁判员评判汇总成绩，恢复场地设备</w:t>
            </w:r>
          </w:p>
        </w:tc>
        <w:tc>
          <w:tcPr>
            <w:tcW w:w="2670" w:type="dxa"/>
            <w:vMerge w:val="continue"/>
            <w:tcBorders>
              <w:left w:val="single" w:color="000000" w:sz="4" w:space="0"/>
              <w:bottom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r>
      <w:tr>
        <w:tblPrEx>
          <w:tblCellMar>
            <w:top w:w="0" w:type="dxa"/>
            <w:left w:w="0" w:type="dxa"/>
            <w:bottom w:w="0" w:type="dxa"/>
            <w:right w:w="0" w:type="dxa"/>
          </w:tblCellMar>
        </w:tblPrEx>
        <w:trPr>
          <w:trHeight w:val="567" w:hRule="atLeast"/>
          <w:tblHeader/>
        </w:trPr>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val="en-US" w:eastAsia="zh-CN"/>
              </w:rPr>
            </w:pPr>
            <w:bookmarkStart w:id="27" w:name="（二）工作要求"/>
            <w:bookmarkEnd w:id="27"/>
            <w:r>
              <w:rPr>
                <w:rFonts w:hint="default" w:ascii="Times New Roman" w:hAnsi="Times New Roman" w:eastAsia="仿宋_GB2312" w:cs="Times New Roman"/>
                <w:bCs/>
                <w:color w:val="000000"/>
                <w:sz w:val="24"/>
                <w:szCs w:val="24"/>
                <w:lang w:val="en-US" w:eastAsia="zh-CN"/>
              </w:rPr>
              <w:t>C2</w:t>
            </w:r>
          </w:p>
        </w:tc>
        <w:tc>
          <w:tcPr>
            <w:tcW w:w="0" w:type="auto"/>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val="en-US" w:eastAsia="zh-CN"/>
              </w:rPr>
            </w:pPr>
            <w:r>
              <w:rPr>
                <w:rFonts w:hint="default" w:ascii="Times New Roman" w:hAnsi="Times New Roman" w:eastAsia="仿宋_GB2312" w:cs="Times New Roman"/>
                <w:bCs/>
                <w:color w:val="000000"/>
                <w:sz w:val="24"/>
                <w:szCs w:val="24"/>
                <w:lang w:val="en-US" w:eastAsia="zh-CN"/>
              </w:rPr>
              <w:t>全天</w:t>
            </w:r>
          </w:p>
        </w:tc>
        <w:tc>
          <w:tcPr>
            <w:tcW w:w="3974"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val="en-US" w:eastAsia="zh-CN"/>
              </w:rPr>
            </w:pPr>
            <w:r>
              <w:rPr>
                <w:rFonts w:hint="default" w:ascii="Times New Roman" w:hAnsi="Times New Roman" w:eastAsia="仿宋_GB2312" w:cs="Times New Roman"/>
                <w:bCs/>
                <w:color w:val="000000"/>
                <w:sz w:val="24"/>
                <w:szCs w:val="24"/>
                <w:lang w:val="en-US" w:eastAsia="zh-CN"/>
              </w:rPr>
              <w:t>同上</w:t>
            </w:r>
          </w:p>
        </w:tc>
        <w:tc>
          <w:tcPr>
            <w:tcW w:w="267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firstLine="0" w:firstLineChars="0"/>
              <w:jc w:val="center"/>
              <w:rPr>
                <w:rFonts w:hint="default" w:ascii="Times New Roman" w:hAnsi="Times New Roman" w:eastAsia="仿宋_GB2312" w:cs="Times New Roman"/>
                <w:bCs/>
                <w:color w:val="000000"/>
                <w:sz w:val="24"/>
                <w:szCs w:val="24"/>
                <w:lang w:eastAsia="zh-CN"/>
              </w:rPr>
            </w:pPr>
          </w:p>
        </w:tc>
      </w:tr>
    </w:tbl>
    <w:p>
      <w:pPr>
        <w:ind w:left="0" w:leftChars="0" w:firstLine="643" w:firstLineChars="200"/>
        <w:outlineLvl w:val="1"/>
        <w:rPr>
          <w:rFonts w:ascii="楷体" w:hAnsi="楷体" w:eastAsia="楷体" w:cs="楷体"/>
          <w:b/>
          <w:bCs/>
          <w:color w:val="auto"/>
          <w:sz w:val="32"/>
          <w:szCs w:val="32"/>
          <w:lang w:eastAsia="zh-CN"/>
        </w:rPr>
      </w:pPr>
      <w:r>
        <w:rPr>
          <w:rFonts w:hint="eastAsia" w:ascii="楷体" w:hAnsi="楷体" w:eastAsia="楷体" w:cs="楷体"/>
          <w:b/>
          <w:bCs/>
          <w:color w:val="auto"/>
          <w:sz w:val="32"/>
          <w:szCs w:val="32"/>
          <w:lang w:eastAsia="zh-CN"/>
        </w:rPr>
        <w:t>（一）选手报名要求</w:t>
      </w:r>
      <w:bookmarkEnd w:id="25"/>
      <w:bookmarkEnd w:id="26"/>
    </w:p>
    <w:p>
      <w:pPr>
        <w:ind w:firstLine="640"/>
        <w:rPr>
          <w:rFonts w:hint="eastAsia" w:ascii="仿宋" w:hAnsi="仿宋" w:eastAsia="仿宋" w:cs="仿宋"/>
          <w:color w:val="auto"/>
          <w:sz w:val="32"/>
          <w:szCs w:val="32"/>
          <w:lang w:val="en-US" w:eastAsia="zh-CN" w:bidi="ar"/>
        </w:rPr>
      </w:pPr>
      <w:bookmarkStart w:id="28" w:name="_Toc5453"/>
      <w:r>
        <w:rPr>
          <w:rFonts w:hint="eastAsia" w:ascii="仿宋" w:hAnsi="仿宋" w:eastAsia="仿宋" w:cs="仿宋"/>
          <w:color w:val="auto"/>
          <w:sz w:val="32"/>
          <w:szCs w:val="32"/>
          <w:lang w:val="en-US" w:eastAsia="zh-CN" w:bidi="ar"/>
        </w:rPr>
        <w:t>本市行政区域内具有中级(四级)以上职业资格或具有相应技能水平的16周岁以上、法定退休年龄以内的人员，具备以下条件之一者：</w:t>
      </w:r>
    </w:p>
    <w:p>
      <w:pPr>
        <w:ind w:firstLine="640"/>
        <w:rPr>
          <w:rFonts w:hint="eastAsia" w:ascii="仿宋" w:hAnsi="仿宋" w:eastAsia="仿宋" w:cs="仿宋"/>
          <w:color w:val="auto"/>
          <w:sz w:val="32"/>
          <w:szCs w:val="32"/>
          <w:lang w:val="en-US" w:eastAsia="zh-CN" w:bidi="ar"/>
        </w:rPr>
      </w:pPr>
      <w:r>
        <w:rPr>
          <w:rFonts w:hint="eastAsia" w:ascii="仿宋" w:hAnsi="仿宋" w:eastAsia="仿宋" w:cs="仿宋"/>
          <w:color w:val="auto"/>
          <w:sz w:val="32"/>
          <w:szCs w:val="32"/>
          <w:lang w:val="en-US" w:eastAsia="zh-CN" w:bidi="ar"/>
        </w:rPr>
        <w:t>1.取得人社部门审核认定的，以四级/中级工及以上技能为 培养目标的技工学校或中高等职业院校相关专业毕业证书或在</w:t>
      </w:r>
    </w:p>
    <w:p>
      <w:pPr>
        <w:ind w:left="0" w:leftChars="0" w:firstLine="0" w:firstLineChars="0"/>
        <w:rPr>
          <w:rFonts w:hint="eastAsia" w:ascii="仿宋" w:hAnsi="仿宋" w:eastAsia="仿宋" w:cs="仿宋"/>
          <w:color w:val="auto"/>
          <w:sz w:val="32"/>
          <w:szCs w:val="32"/>
          <w:lang w:val="en-US" w:eastAsia="zh-CN" w:bidi="ar"/>
        </w:rPr>
      </w:pPr>
      <w:r>
        <w:rPr>
          <w:rFonts w:hint="eastAsia" w:ascii="仿宋" w:hAnsi="仿宋" w:eastAsia="仿宋" w:cs="仿宋"/>
          <w:color w:val="auto"/>
          <w:sz w:val="32"/>
          <w:szCs w:val="32"/>
          <w:lang w:val="en-US" w:eastAsia="zh-CN" w:bidi="ar"/>
        </w:rPr>
        <w:t>校生。</w:t>
      </w:r>
    </w:p>
    <w:p>
      <w:pPr>
        <w:ind w:firstLine="640"/>
        <w:rPr>
          <w:rFonts w:hint="eastAsia" w:ascii="仿宋" w:hAnsi="仿宋" w:eastAsia="仿宋" w:cs="仿宋"/>
          <w:color w:val="auto"/>
          <w:sz w:val="32"/>
          <w:szCs w:val="32"/>
          <w:lang w:val="en-US" w:eastAsia="zh-CN" w:bidi="ar"/>
        </w:rPr>
      </w:pPr>
      <w:r>
        <w:rPr>
          <w:rFonts w:hint="eastAsia" w:ascii="仿宋" w:hAnsi="仿宋" w:eastAsia="仿宋" w:cs="仿宋"/>
          <w:color w:val="auto"/>
          <w:sz w:val="32"/>
          <w:szCs w:val="32"/>
          <w:lang w:val="en-US" w:eastAsia="zh-CN" w:bidi="ar"/>
        </w:rPr>
        <w:t>2.经本工种中级(四级)以上培训达到规定学时，并取得职</w:t>
      </w:r>
    </w:p>
    <w:p>
      <w:pPr>
        <w:ind w:left="0" w:leftChars="0" w:firstLine="0" w:firstLineChars="0"/>
        <w:rPr>
          <w:rFonts w:hint="eastAsia" w:ascii="仿宋" w:hAnsi="仿宋" w:eastAsia="仿宋" w:cs="仿宋"/>
          <w:color w:val="auto"/>
          <w:sz w:val="32"/>
          <w:szCs w:val="32"/>
          <w:lang w:val="en-US" w:eastAsia="zh-CN" w:bidi="ar"/>
        </w:rPr>
      </w:pPr>
      <w:r>
        <w:rPr>
          <w:rFonts w:hint="eastAsia" w:ascii="仿宋" w:hAnsi="仿宋" w:eastAsia="仿宋" w:cs="仿宋"/>
          <w:color w:val="auto"/>
          <w:sz w:val="32"/>
          <w:szCs w:val="32"/>
          <w:lang w:val="en-US" w:eastAsia="zh-CN" w:bidi="ar"/>
        </w:rPr>
        <w:t>业资格证书或技能等级证书。</w:t>
      </w:r>
    </w:p>
    <w:p>
      <w:pPr>
        <w:rPr>
          <w:rFonts w:hint="eastAsia" w:ascii="仿宋" w:hAnsi="仿宋" w:eastAsia="仿宋" w:cs="仿宋"/>
          <w:color w:val="auto"/>
          <w:sz w:val="32"/>
          <w:szCs w:val="32"/>
          <w:lang w:val="en-US" w:eastAsia="zh-CN" w:bidi="ar"/>
        </w:rPr>
      </w:pPr>
      <w:r>
        <w:rPr>
          <w:rFonts w:hint="eastAsia" w:ascii="仿宋" w:hAnsi="仿宋" w:eastAsia="仿宋" w:cs="仿宋"/>
          <w:color w:val="auto"/>
          <w:sz w:val="32"/>
          <w:szCs w:val="32"/>
          <w:lang w:val="en-US" w:eastAsia="zh-CN" w:bidi="ar"/>
        </w:rPr>
        <w:t>3.在本工种(岗位)连续工作6年以上者。</w:t>
      </w:r>
    </w:p>
    <w:p>
      <w:pPr>
        <w:ind w:firstLine="640"/>
        <w:rPr>
          <w:rFonts w:ascii="仿宋" w:hAnsi="仿宋" w:eastAsia="仿宋" w:cs="仿宋"/>
          <w:color w:val="FF0000"/>
          <w:sz w:val="32"/>
          <w:szCs w:val="32"/>
          <w:lang w:eastAsia="zh-CN"/>
        </w:rPr>
      </w:pPr>
      <w:r>
        <w:rPr>
          <w:rFonts w:hint="eastAsia" w:ascii="仿宋" w:hAnsi="仿宋" w:eastAsia="仿宋" w:cs="仿宋"/>
          <w:color w:val="auto"/>
          <w:sz w:val="32"/>
          <w:szCs w:val="32"/>
          <w:lang w:val="en-US" w:eastAsia="zh-CN" w:bidi="ar"/>
        </w:rPr>
        <w:t>已获得省赛第1名，全国比赛前10名的选手，不再参赛。已获得“中华技能大奖”“全国技术能手”“中原技能大师”“中原技能大奖”“河南省技术能手”荣誉人员，不得以选手身份参</w:t>
      </w:r>
      <w:r>
        <w:rPr>
          <w:rFonts w:hint="eastAsia" w:ascii="仿宋" w:hAnsi="仿宋" w:eastAsia="仿宋" w:cs="仿宋"/>
          <w:sz w:val="32"/>
          <w:szCs w:val="32"/>
          <w:lang w:val="en-US" w:eastAsia="zh-CN" w:bidi="ar-SA"/>
        </w:rPr>
        <w:t>赛。</w:t>
      </w:r>
    </w:p>
    <w:bookmarkEnd w:id="28"/>
    <w:p>
      <w:pPr>
        <w:ind w:firstLine="643"/>
        <w:outlineLvl w:val="1"/>
        <w:rPr>
          <w:rFonts w:ascii="楷体" w:hAnsi="楷体" w:eastAsia="楷体" w:cs="楷体"/>
          <w:b/>
          <w:bCs/>
          <w:color w:val="auto"/>
          <w:sz w:val="32"/>
          <w:szCs w:val="32"/>
          <w:lang w:eastAsia="zh-CN"/>
        </w:rPr>
      </w:pPr>
      <w:bookmarkStart w:id="29" w:name="_Toc27166"/>
      <w:bookmarkStart w:id="30" w:name="_Toc16197"/>
      <w:bookmarkStart w:id="31" w:name="_Toc30969"/>
      <w:r>
        <w:rPr>
          <w:rFonts w:hint="eastAsia" w:ascii="楷体" w:hAnsi="楷体" w:eastAsia="楷体" w:cs="楷体"/>
          <w:b/>
          <w:bCs/>
          <w:color w:val="auto"/>
          <w:sz w:val="32"/>
          <w:szCs w:val="32"/>
          <w:lang w:eastAsia="zh-CN"/>
        </w:rPr>
        <w:t>（二）裁判人员</w:t>
      </w:r>
      <w:bookmarkEnd w:id="29"/>
      <w:bookmarkEnd w:id="30"/>
      <w:bookmarkEnd w:id="31"/>
    </w:p>
    <w:p>
      <w:pPr>
        <w:ind w:firstLine="640"/>
        <w:rPr>
          <w:rFonts w:ascii="仿宋" w:hAnsi="仿宋" w:eastAsia="仿宋" w:cs="仿宋"/>
          <w:color w:val="auto"/>
          <w:sz w:val="32"/>
          <w:szCs w:val="32"/>
          <w:lang w:eastAsia="zh-CN"/>
        </w:rPr>
      </w:pPr>
      <w:r>
        <w:rPr>
          <w:rFonts w:hint="eastAsia" w:ascii="仿宋" w:hAnsi="仿宋" w:eastAsia="仿宋" w:cs="仿宋"/>
          <w:color w:val="auto"/>
          <w:sz w:val="32"/>
          <w:szCs w:val="32"/>
          <w:lang w:eastAsia="zh-CN"/>
        </w:rPr>
        <w:t>包括各项目裁判组全体成员。</w:t>
      </w:r>
    </w:p>
    <w:p>
      <w:pPr>
        <w:ind w:firstLine="640"/>
        <w:rPr>
          <w:rFonts w:ascii="仿宋" w:hAnsi="仿宋" w:eastAsia="仿宋" w:cs="仿宋"/>
          <w:color w:val="auto"/>
          <w:sz w:val="32"/>
          <w:szCs w:val="32"/>
          <w:lang w:eastAsia="zh-CN"/>
        </w:rPr>
      </w:pPr>
      <w:r>
        <w:rPr>
          <w:rFonts w:hint="eastAsia" w:ascii="仿宋" w:hAnsi="仿宋" w:eastAsia="仿宋" w:cs="仿宋"/>
          <w:color w:val="auto"/>
          <w:sz w:val="32"/>
          <w:szCs w:val="32"/>
          <w:lang w:eastAsia="zh-CN"/>
        </w:rPr>
        <w:t>1.裁判长</w:t>
      </w:r>
    </w:p>
    <w:p>
      <w:pPr>
        <w:ind w:firstLine="640"/>
        <w:rPr>
          <w:rFonts w:ascii="仿宋" w:hAnsi="仿宋" w:eastAsia="仿宋" w:cs="仿宋"/>
          <w:color w:val="auto"/>
          <w:sz w:val="32"/>
          <w:szCs w:val="32"/>
          <w:lang w:eastAsia="zh-CN"/>
        </w:rPr>
      </w:pPr>
      <w:r>
        <w:rPr>
          <w:rFonts w:hint="eastAsia" w:ascii="仿宋" w:hAnsi="仿宋" w:eastAsia="仿宋" w:cs="仿宋"/>
          <w:color w:val="auto"/>
          <w:sz w:val="32"/>
          <w:szCs w:val="32"/>
          <w:lang w:eastAsia="zh-CN" w:bidi="ar"/>
        </w:rPr>
        <w:t>在组委会领导下，秉承公平公正原则接受执委会具体管理；做好相应沟通协调，落实竞赛各项技术工作；按时、认真组织完成本项目技术工作文件的编制工作；带头坚持并维护竞赛公平公正，遵守保密纪律，不得有影响竞赛公平公正的言行；按照组委会要求和执委会安排，参加并做好本项目裁判员的赛前培训，主持做好本项目赛前技术交流；采取多种措施保证公平公正，组织全体裁判员做好本项目评判和相关技术工作；组织本项目开展技术总结和技术点评。</w:t>
      </w:r>
    </w:p>
    <w:p>
      <w:pPr>
        <w:ind w:firstLine="64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2.</w:t>
      </w:r>
      <w:r>
        <w:rPr>
          <w:rFonts w:hint="eastAsia" w:ascii="仿宋" w:hAnsi="仿宋" w:eastAsia="仿宋" w:cs="仿宋"/>
          <w:color w:val="auto"/>
          <w:sz w:val="32"/>
          <w:szCs w:val="32"/>
          <w:lang w:val="en-US" w:eastAsia="zh-CN"/>
        </w:rPr>
        <w:t>场地经理</w:t>
      </w:r>
    </w:p>
    <w:p>
      <w:pPr>
        <w:ind w:firstLine="640"/>
        <w:rPr>
          <w:rFonts w:ascii="仿宋" w:hAnsi="仿宋" w:eastAsia="仿宋" w:cs="仿宋"/>
          <w:color w:val="auto"/>
          <w:sz w:val="32"/>
          <w:szCs w:val="32"/>
          <w:lang w:eastAsia="zh-CN" w:bidi="ar"/>
        </w:rPr>
      </w:pPr>
      <w:r>
        <w:rPr>
          <w:rFonts w:hint="eastAsia" w:ascii="仿宋" w:hAnsi="仿宋" w:eastAsia="仿宋" w:cs="仿宋"/>
          <w:color w:val="auto"/>
          <w:sz w:val="32"/>
          <w:szCs w:val="32"/>
          <w:lang w:eastAsia="zh-CN" w:bidi="ar"/>
        </w:rPr>
        <w:t>协助裁判长做好执裁各项组织工作；完成裁判长安排的相关工作。</w:t>
      </w:r>
    </w:p>
    <w:p>
      <w:pPr>
        <w:ind w:firstLine="640"/>
        <w:rPr>
          <w:rFonts w:ascii="仿宋" w:hAnsi="仿宋" w:eastAsia="仿宋" w:cs="仿宋"/>
          <w:color w:val="auto"/>
          <w:sz w:val="32"/>
          <w:szCs w:val="32"/>
          <w:lang w:eastAsia="zh-CN"/>
        </w:rPr>
      </w:pPr>
      <w:r>
        <w:rPr>
          <w:rFonts w:hint="eastAsia" w:ascii="仿宋" w:hAnsi="仿宋" w:eastAsia="仿宋" w:cs="仿宋"/>
          <w:color w:val="auto"/>
          <w:sz w:val="32"/>
          <w:szCs w:val="32"/>
          <w:lang w:eastAsia="zh-CN"/>
        </w:rPr>
        <w:t>3.裁判员</w:t>
      </w:r>
    </w:p>
    <w:p>
      <w:pPr>
        <w:ind w:firstLine="640"/>
        <w:rPr>
          <w:rFonts w:ascii="仿宋" w:hAnsi="仿宋" w:eastAsia="仿宋" w:cs="仿宋"/>
          <w:color w:val="auto"/>
          <w:sz w:val="32"/>
          <w:szCs w:val="32"/>
          <w:lang w:eastAsia="zh-CN"/>
        </w:rPr>
      </w:pPr>
      <w:r>
        <w:rPr>
          <w:rFonts w:hint="eastAsia" w:ascii="仿宋" w:hAnsi="仿宋" w:eastAsia="仿宋" w:cs="仿宋"/>
          <w:color w:val="auto"/>
          <w:sz w:val="32"/>
          <w:szCs w:val="32"/>
          <w:lang w:eastAsia="zh-CN"/>
        </w:rPr>
        <w:t>裁判员经组委会技术工作组审核确定后承担裁判员执裁工作。全部裁判工作均采取回避制度，裁判员不对来自同一参赛队的选手进行评判。</w:t>
      </w:r>
    </w:p>
    <w:p>
      <w:pPr>
        <w:ind w:firstLine="640"/>
        <w:rPr>
          <w:rFonts w:ascii="仿宋" w:hAnsi="仿宋" w:eastAsia="仿宋" w:cs="仿宋"/>
          <w:color w:val="auto"/>
          <w:sz w:val="32"/>
          <w:szCs w:val="32"/>
          <w:lang w:eastAsia="zh-CN"/>
        </w:rPr>
      </w:pPr>
      <w:r>
        <w:rPr>
          <w:rFonts w:hint="eastAsia" w:ascii="仿宋" w:hAnsi="仿宋" w:eastAsia="仿宋" w:cs="仿宋"/>
          <w:color w:val="auto"/>
          <w:sz w:val="32"/>
          <w:szCs w:val="32"/>
          <w:lang w:eastAsia="zh-CN"/>
        </w:rPr>
        <w:t>如裁判员人数不能满足工作需要，由项目裁判长在赛前提出增加裁判员人选申请，由组委会技术工作组遴选确定后增补。</w:t>
      </w:r>
    </w:p>
    <w:p>
      <w:pPr>
        <w:ind w:firstLine="640"/>
        <w:rPr>
          <w:rFonts w:ascii="仿宋" w:hAnsi="仿宋" w:eastAsia="仿宋" w:cs="仿宋"/>
          <w:color w:val="auto"/>
          <w:sz w:val="32"/>
          <w:szCs w:val="32"/>
          <w:lang w:eastAsia="zh-CN"/>
        </w:rPr>
      </w:pPr>
      <w:r>
        <w:rPr>
          <w:rFonts w:hint="eastAsia" w:ascii="仿宋" w:hAnsi="仿宋" w:eastAsia="仿宋" w:cs="仿宋"/>
          <w:color w:val="auto"/>
          <w:sz w:val="32"/>
          <w:szCs w:val="32"/>
          <w:lang w:eastAsia="zh-CN"/>
        </w:rPr>
        <w:t>服从裁判长工作安排，认真做好本职工作；熟练掌握竞赛技术规则，参加赛前培训和技术讨论；对有争议的问题提出客观、公正、合理的意见和建议；公平公正执裁，不徇私舞弊；坚守岗位，严格遵守执裁时间安排，保证执裁工作正常进行。</w:t>
      </w:r>
    </w:p>
    <w:p>
      <w:pPr>
        <w:pStyle w:val="8"/>
        <w:ind w:firstLine="640"/>
        <w:rPr>
          <w:rFonts w:ascii="仿宋" w:hAnsi="仿宋" w:eastAsia="仿宋" w:cs="仿宋"/>
          <w:color w:val="auto"/>
          <w:sz w:val="32"/>
          <w:szCs w:val="32"/>
          <w:lang w:eastAsia="zh-CN"/>
        </w:rPr>
      </w:pPr>
      <w:r>
        <w:rPr>
          <w:rFonts w:hint="eastAsia" w:ascii="仿宋" w:hAnsi="仿宋" w:eastAsia="仿宋" w:cs="仿宋"/>
          <w:color w:val="auto"/>
          <w:sz w:val="32"/>
          <w:szCs w:val="32"/>
          <w:lang w:eastAsia="zh-CN"/>
        </w:rPr>
        <w:t>4.工作人员</w:t>
      </w:r>
    </w:p>
    <w:p>
      <w:pPr>
        <w:pStyle w:val="8"/>
        <w:ind w:firstLine="640"/>
        <w:rPr>
          <w:rFonts w:ascii="仿宋" w:hAnsi="仿宋" w:eastAsia="仿宋" w:cs="仿宋"/>
          <w:color w:val="auto"/>
          <w:sz w:val="32"/>
          <w:szCs w:val="32"/>
          <w:lang w:eastAsia="zh-CN"/>
        </w:rPr>
      </w:pPr>
      <w:r>
        <w:rPr>
          <w:rFonts w:ascii="仿宋" w:hAnsi="仿宋" w:eastAsia="仿宋" w:cs="仿宋"/>
          <w:color w:val="auto"/>
          <w:sz w:val="32"/>
          <w:szCs w:val="32"/>
          <w:lang w:eastAsia="zh-CN"/>
        </w:rPr>
        <w:t>包括技术</w:t>
      </w:r>
      <w:r>
        <w:rPr>
          <w:rFonts w:hint="eastAsia" w:ascii="仿宋" w:hAnsi="仿宋" w:eastAsia="仿宋" w:cs="仿宋"/>
          <w:color w:val="auto"/>
          <w:sz w:val="32"/>
          <w:szCs w:val="32"/>
          <w:lang w:eastAsia="zh-CN"/>
        </w:rPr>
        <w:t>支持</w:t>
      </w:r>
      <w:r>
        <w:rPr>
          <w:rFonts w:ascii="仿宋" w:hAnsi="仿宋" w:eastAsia="仿宋" w:cs="仿宋"/>
          <w:color w:val="auto"/>
          <w:sz w:val="32"/>
          <w:szCs w:val="32"/>
          <w:lang w:eastAsia="zh-CN"/>
        </w:rPr>
        <w:t>人</w:t>
      </w:r>
      <w:r>
        <w:rPr>
          <w:rFonts w:hint="eastAsia" w:ascii="仿宋" w:hAnsi="仿宋" w:eastAsia="仿宋" w:cs="仿宋"/>
          <w:color w:val="auto"/>
          <w:sz w:val="32"/>
          <w:szCs w:val="32"/>
          <w:lang w:eastAsia="zh-CN"/>
        </w:rPr>
        <w:t>员</w:t>
      </w:r>
      <w:r>
        <w:rPr>
          <w:rFonts w:ascii="仿宋" w:hAnsi="仿宋" w:eastAsia="仿宋" w:cs="仿宋"/>
          <w:color w:val="auto"/>
          <w:sz w:val="32"/>
          <w:szCs w:val="32"/>
          <w:lang w:eastAsia="zh-CN"/>
        </w:rPr>
        <w:t>、赛务保障人员等。按照大赛统一要求，在</w:t>
      </w:r>
      <w:r>
        <w:rPr>
          <w:rFonts w:hint="eastAsia" w:ascii="仿宋" w:hAnsi="仿宋" w:eastAsia="仿宋" w:cs="仿宋"/>
          <w:color w:val="auto"/>
          <w:sz w:val="32"/>
          <w:szCs w:val="32"/>
          <w:lang w:eastAsia="zh-CN"/>
        </w:rPr>
        <w:t>裁判长</w:t>
      </w:r>
      <w:r>
        <w:rPr>
          <w:rFonts w:ascii="仿宋" w:hAnsi="仿宋" w:eastAsia="仿宋" w:cs="仿宋"/>
          <w:color w:val="auto"/>
          <w:sz w:val="32"/>
          <w:szCs w:val="32"/>
          <w:lang w:eastAsia="zh-CN"/>
        </w:rPr>
        <w:t>领导下做好相应的竞赛保障工作。</w:t>
      </w:r>
      <w:bookmarkStart w:id="32" w:name="_Toc8064"/>
    </w:p>
    <w:p>
      <w:pPr>
        <w:pStyle w:val="8"/>
        <w:ind w:firstLine="640"/>
        <w:rPr>
          <w:b/>
          <w:bCs/>
          <w:sz w:val="32"/>
          <w:lang w:eastAsia="zh-CN"/>
        </w:rPr>
      </w:pPr>
      <w:r>
        <w:rPr>
          <w:b/>
          <w:bCs/>
          <w:sz w:val="32"/>
          <w:lang w:eastAsia="zh-CN"/>
        </w:rPr>
        <w:t>（</w:t>
      </w:r>
      <w:r>
        <w:rPr>
          <w:rFonts w:hint="eastAsia"/>
          <w:b/>
          <w:bCs/>
          <w:sz w:val="32"/>
          <w:lang w:eastAsia="zh-CN"/>
        </w:rPr>
        <w:t>三</w:t>
      </w:r>
      <w:r>
        <w:rPr>
          <w:b/>
          <w:bCs/>
          <w:sz w:val="32"/>
          <w:lang w:eastAsia="zh-CN"/>
        </w:rPr>
        <w:t>）</w:t>
      </w:r>
      <w:r>
        <w:rPr>
          <w:rFonts w:hint="eastAsia"/>
          <w:b/>
          <w:bCs/>
          <w:sz w:val="32"/>
          <w:lang w:eastAsia="zh-CN"/>
        </w:rPr>
        <w:t>竞赛</w:t>
      </w:r>
      <w:r>
        <w:rPr>
          <w:b/>
          <w:bCs/>
          <w:sz w:val="32"/>
          <w:lang w:eastAsia="zh-CN"/>
        </w:rPr>
        <w:t>工作要求</w:t>
      </w:r>
      <w:bookmarkEnd w:id="32"/>
    </w:p>
    <w:p>
      <w:pPr>
        <w:pStyle w:val="5"/>
        <w:ind w:firstLine="643"/>
        <w:rPr>
          <w:sz w:val="32"/>
          <w:lang w:eastAsia="zh-CN"/>
        </w:rPr>
      </w:pPr>
      <w:bookmarkStart w:id="33" w:name="1．选手工作内容"/>
      <w:bookmarkEnd w:id="33"/>
      <w:r>
        <w:rPr>
          <w:rFonts w:hint="eastAsia"/>
          <w:b/>
          <w:bCs/>
          <w:sz w:val="32"/>
          <w:lang w:eastAsia="zh-CN"/>
        </w:rPr>
        <w:t>1</w:t>
      </w:r>
      <w:r>
        <w:rPr>
          <w:sz w:val="32"/>
          <w:lang w:eastAsia="zh-CN"/>
        </w:rPr>
        <w:t>．选手工作</w:t>
      </w:r>
      <w:r>
        <w:rPr>
          <w:rFonts w:hint="eastAsia"/>
          <w:sz w:val="32"/>
          <w:lang w:eastAsia="zh-CN"/>
        </w:rPr>
        <w:t>要求</w:t>
      </w:r>
    </w:p>
    <w:p>
      <w:pPr>
        <w:pStyle w:val="5"/>
        <w:ind w:firstLine="640"/>
        <w:rPr>
          <w:sz w:val="32"/>
          <w:lang w:eastAsia="zh-CN"/>
        </w:rPr>
      </w:pPr>
      <w:r>
        <w:rPr>
          <w:sz w:val="32"/>
          <w:lang w:eastAsia="zh-CN"/>
        </w:rPr>
        <w:t>（1）赛前熟悉比赛技术规则，进行有针对性的训练准备，积极锻炼身体，调整好心态。</w:t>
      </w:r>
    </w:p>
    <w:p>
      <w:pPr>
        <w:pStyle w:val="5"/>
        <w:ind w:firstLine="640"/>
        <w:rPr>
          <w:sz w:val="32"/>
          <w:lang w:eastAsia="zh-CN"/>
        </w:rPr>
      </w:pPr>
      <w:r>
        <w:rPr>
          <w:sz w:val="32"/>
          <w:lang w:eastAsia="zh-CN"/>
        </w:rPr>
        <w:t>（2）提前报到，熟悉适应赛区气候环境、住宿、饮食和交通等。</w:t>
      </w:r>
    </w:p>
    <w:p>
      <w:pPr>
        <w:pStyle w:val="5"/>
        <w:ind w:firstLine="640"/>
        <w:rPr>
          <w:sz w:val="32"/>
          <w:lang w:eastAsia="zh-CN"/>
        </w:rPr>
      </w:pPr>
      <w:r>
        <w:rPr>
          <w:sz w:val="32"/>
          <w:lang w:eastAsia="zh-CN"/>
        </w:rPr>
        <w:t>（3）参赛选手在比赛期间实行封闭管理，接受工作人员的安全检查和行动指引。</w:t>
      </w:r>
    </w:p>
    <w:p>
      <w:pPr>
        <w:pStyle w:val="5"/>
        <w:ind w:firstLine="640"/>
        <w:rPr>
          <w:sz w:val="32"/>
          <w:lang w:eastAsia="zh-CN"/>
        </w:rPr>
      </w:pPr>
      <w:r>
        <w:rPr>
          <w:sz w:val="32"/>
          <w:lang w:eastAsia="zh-CN"/>
        </w:rPr>
        <w:t>（4）比赛前，参赛选手到赛场熟悉场地环境和仪器设备。</w:t>
      </w:r>
    </w:p>
    <w:p>
      <w:pPr>
        <w:pStyle w:val="5"/>
        <w:ind w:firstLine="640"/>
        <w:rPr>
          <w:sz w:val="32"/>
          <w:lang w:eastAsia="zh-CN"/>
        </w:rPr>
      </w:pPr>
      <w:r>
        <w:rPr>
          <w:sz w:val="32"/>
          <w:lang w:eastAsia="zh-CN"/>
        </w:rPr>
        <w:t>（5）比赛期间，全身心投入各模块比赛，展现最好的竞技水平和职业风范。</w:t>
      </w:r>
    </w:p>
    <w:p>
      <w:pPr>
        <w:pStyle w:val="5"/>
        <w:ind w:firstLine="643"/>
        <w:rPr>
          <w:sz w:val="32"/>
          <w:lang w:eastAsia="zh-CN"/>
        </w:rPr>
      </w:pPr>
      <w:r>
        <w:rPr>
          <w:rFonts w:hint="eastAsia"/>
          <w:b/>
          <w:bCs/>
          <w:sz w:val="32"/>
          <w:lang w:eastAsia="zh-CN"/>
        </w:rPr>
        <w:t>2</w:t>
      </w:r>
      <w:r>
        <w:rPr>
          <w:sz w:val="32"/>
          <w:lang w:eastAsia="zh-CN"/>
        </w:rPr>
        <w:t>．裁判工作</w:t>
      </w:r>
      <w:r>
        <w:rPr>
          <w:rFonts w:hint="eastAsia"/>
          <w:sz w:val="32"/>
          <w:lang w:eastAsia="zh-CN"/>
        </w:rPr>
        <w:t>要求</w:t>
      </w:r>
    </w:p>
    <w:p>
      <w:pPr>
        <w:pStyle w:val="5"/>
        <w:ind w:firstLine="640"/>
        <w:rPr>
          <w:sz w:val="32"/>
          <w:lang w:eastAsia="zh-CN"/>
        </w:rPr>
      </w:pPr>
      <w:r>
        <w:rPr>
          <w:sz w:val="32"/>
          <w:lang w:eastAsia="zh-CN"/>
        </w:rPr>
        <w:t>（1）参加赛前裁判培训，掌握执裁模块各项技术要求，做到标准统一、公平公正。</w:t>
      </w:r>
    </w:p>
    <w:p>
      <w:pPr>
        <w:pStyle w:val="5"/>
        <w:ind w:firstLine="640"/>
        <w:rPr>
          <w:sz w:val="32"/>
          <w:lang w:eastAsia="zh-CN"/>
        </w:rPr>
      </w:pPr>
      <w:r>
        <w:rPr>
          <w:sz w:val="32"/>
          <w:lang w:eastAsia="zh-CN"/>
        </w:rPr>
        <w:t>（2）比赛前到赛场熟悉场地环境和仪器设备，解答选手对设备使用的疑问。</w:t>
      </w:r>
    </w:p>
    <w:p>
      <w:pPr>
        <w:pStyle w:val="5"/>
        <w:ind w:firstLine="640"/>
        <w:rPr>
          <w:sz w:val="32"/>
          <w:lang w:eastAsia="zh-CN"/>
        </w:rPr>
      </w:pPr>
      <w:r>
        <w:rPr>
          <w:sz w:val="32"/>
          <w:lang w:eastAsia="zh-CN"/>
        </w:rPr>
        <w:t>（3）比赛期间，在赛场执裁评分，恢复车辆、设备和现场，设置故障。</w:t>
      </w:r>
    </w:p>
    <w:p>
      <w:pPr>
        <w:pStyle w:val="5"/>
        <w:ind w:firstLine="640"/>
        <w:rPr>
          <w:sz w:val="32"/>
          <w:lang w:eastAsia="zh-CN"/>
        </w:rPr>
      </w:pPr>
      <w:r>
        <w:rPr>
          <w:sz w:val="32"/>
          <w:lang w:eastAsia="zh-CN"/>
        </w:rPr>
        <w:t>（4）比赛期间，监督和警示选手的违规操作，确保参赛的人身及设备安全。</w:t>
      </w:r>
    </w:p>
    <w:p>
      <w:pPr>
        <w:pStyle w:val="5"/>
        <w:ind w:firstLine="640"/>
        <w:rPr>
          <w:sz w:val="32"/>
          <w:lang w:eastAsia="zh-CN"/>
        </w:rPr>
      </w:pPr>
      <w:r>
        <w:rPr>
          <w:sz w:val="32"/>
          <w:lang w:eastAsia="zh-CN"/>
        </w:rPr>
        <w:t>（5）参加赛后的技术总结会，提出有益于竞赛改进的意见和建议。</w:t>
      </w:r>
      <w:bookmarkStart w:id="34" w:name="（三）纪律要求"/>
      <w:bookmarkEnd w:id="34"/>
      <w:bookmarkStart w:id="35" w:name="2．裁判工作内容"/>
      <w:bookmarkEnd w:id="35"/>
      <w:bookmarkStart w:id="36" w:name="_Toc8576"/>
    </w:p>
    <w:p>
      <w:pPr>
        <w:pStyle w:val="5"/>
        <w:ind w:firstLine="640"/>
        <w:rPr>
          <w:sz w:val="32"/>
          <w:lang w:eastAsia="zh-CN"/>
        </w:rPr>
      </w:pPr>
      <w:r>
        <w:rPr>
          <w:b/>
          <w:bCs/>
          <w:sz w:val="32"/>
          <w:lang w:eastAsia="zh-CN"/>
        </w:rPr>
        <w:t>（</w:t>
      </w:r>
      <w:r>
        <w:rPr>
          <w:rFonts w:hint="eastAsia"/>
          <w:b/>
          <w:bCs/>
          <w:sz w:val="32"/>
          <w:lang w:eastAsia="zh-CN"/>
        </w:rPr>
        <w:t>四</w:t>
      </w:r>
      <w:r>
        <w:rPr>
          <w:b/>
          <w:bCs/>
          <w:sz w:val="32"/>
          <w:lang w:eastAsia="zh-CN"/>
        </w:rPr>
        <w:t>）</w:t>
      </w:r>
      <w:r>
        <w:rPr>
          <w:rFonts w:hint="eastAsia"/>
          <w:b/>
          <w:bCs/>
          <w:sz w:val="32"/>
          <w:lang w:eastAsia="zh-CN"/>
        </w:rPr>
        <w:t>竞赛</w:t>
      </w:r>
      <w:r>
        <w:rPr>
          <w:b/>
          <w:bCs/>
          <w:sz w:val="32"/>
          <w:lang w:eastAsia="zh-CN"/>
        </w:rPr>
        <w:t>纪律</w:t>
      </w:r>
      <w:r>
        <w:rPr>
          <w:rFonts w:hint="eastAsia"/>
          <w:b/>
          <w:bCs/>
          <w:sz w:val="32"/>
          <w:lang w:eastAsia="zh-CN"/>
        </w:rPr>
        <w:t>要求</w:t>
      </w:r>
      <w:bookmarkEnd w:id="36"/>
    </w:p>
    <w:p>
      <w:pPr>
        <w:pStyle w:val="5"/>
        <w:ind w:firstLine="643"/>
        <w:rPr>
          <w:sz w:val="32"/>
          <w:lang w:eastAsia="zh-CN"/>
        </w:rPr>
      </w:pPr>
      <w:bookmarkStart w:id="37" w:name="1．选手赛场纪律"/>
      <w:bookmarkEnd w:id="37"/>
      <w:r>
        <w:rPr>
          <w:rFonts w:hint="eastAsia"/>
          <w:b/>
          <w:bCs/>
          <w:sz w:val="32"/>
          <w:lang w:eastAsia="zh-CN"/>
        </w:rPr>
        <w:t>1</w:t>
      </w:r>
      <w:r>
        <w:rPr>
          <w:sz w:val="32"/>
          <w:lang w:eastAsia="zh-CN"/>
        </w:rPr>
        <w:t>．选手赛场纪律</w:t>
      </w:r>
    </w:p>
    <w:p>
      <w:pPr>
        <w:pStyle w:val="5"/>
        <w:ind w:firstLine="640"/>
        <w:rPr>
          <w:sz w:val="32"/>
          <w:lang w:eastAsia="zh-CN"/>
        </w:rPr>
      </w:pPr>
      <w:r>
        <w:rPr>
          <w:sz w:val="32"/>
          <w:lang w:eastAsia="zh-CN"/>
        </w:rPr>
        <w:t>（1）参赛选手应按照技术文件和考核项目试题要求，在规定的时间内独立完成。</w:t>
      </w:r>
    </w:p>
    <w:p>
      <w:pPr>
        <w:pStyle w:val="5"/>
        <w:ind w:firstLine="640"/>
        <w:rPr>
          <w:sz w:val="32"/>
          <w:lang w:eastAsia="zh-CN"/>
        </w:rPr>
      </w:pPr>
      <w:r>
        <w:rPr>
          <w:sz w:val="32"/>
          <w:lang w:eastAsia="zh-CN"/>
        </w:rPr>
        <w:t>（2）参赛选手务必按时到达指定竞赛场地选手休息室集合，并接受监督人员和裁判</w:t>
      </w:r>
      <w:r>
        <w:rPr>
          <w:rFonts w:hint="eastAsia"/>
          <w:sz w:val="32"/>
          <w:lang w:val="en-US" w:eastAsia="zh-CN"/>
        </w:rPr>
        <w:t>长</w:t>
      </w:r>
      <w:r>
        <w:rPr>
          <w:sz w:val="32"/>
          <w:lang w:eastAsia="zh-CN"/>
        </w:rPr>
        <w:t>的检查。</w:t>
      </w:r>
    </w:p>
    <w:p>
      <w:pPr>
        <w:pStyle w:val="5"/>
        <w:ind w:firstLine="640"/>
        <w:rPr>
          <w:sz w:val="32"/>
          <w:lang w:eastAsia="zh-CN"/>
        </w:rPr>
      </w:pPr>
      <w:r>
        <w:rPr>
          <w:sz w:val="32"/>
          <w:lang w:eastAsia="zh-CN"/>
        </w:rPr>
        <w:t>（3）参赛选手进入赛场选手休息室时，除按大赛技术文件规定携带比赛用品外和相关技术资料外，严禁携带通讯工具进入竞赛场地。带入休息室内的个人用品，不能带入赛场工位。</w:t>
      </w:r>
    </w:p>
    <w:p>
      <w:pPr>
        <w:pStyle w:val="5"/>
        <w:ind w:firstLine="640"/>
        <w:rPr>
          <w:sz w:val="32"/>
          <w:lang w:eastAsia="zh-CN"/>
        </w:rPr>
      </w:pPr>
      <w:r>
        <w:rPr>
          <w:sz w:val="32"/>
          <w:lang w:eastAsia="zh-CN"/>
        </w:rPr>
        <w:t>（4）选手进入比赛场地休息室全程接受</w:t>
      </w:r>
      <w:r>
        <w:rPr>
          <w:rFonts w:hint="eastAsia"/>
          <w:sz w:val="32"/>
          <w:lang w:val="en-US" w:eastAsia="zh-CN"/>
        </w:rPr>
        <w:t>工作人员</w:t>
      </w:r>
      <w:r>
        <w:rPr>
          <w:sz w:val="32"/>
          <w:lang w:eastAsia="zh-CN"/>
        </w:rPr>
        <w:t>与裁判</w:t>
      </w:r>
      <w:r>
        <w:rPr>
          <w:rFonts w:hint="eastAsia"/>
          <w:sz w:val="32"/>
          <w:lang w:val="en-US" w:eastAsia="zh-CN"/>
        </w:rPr>
        <w:t>长</w:t>
      </w:r>
      <w:r>
        <w:rPr>
          <w:sz w:val="32"/>
          <w:lang w:eastAsia="zh-CN"/>
        </w:rPr>
        <w:t>的监督管理；参赛选手在竞赛过程中不得擅自离开竞赛场地或休息室，如遇有特殊情况需经裁判</w:t>
      </w:r>
      <w:r>
        <w:rPr>
          <w:rFonts w:hint="eastAsia"/>
          <w:sz w:val="32"/>
          <w:lang w:val="en-US" w:eastAsia="zh-CN"/>
        </w:rPr>
        <w:t>长</w:t>
      </w:r>
      <w:r>
        <w:rPr>
          <w:sz w:val="32"/>
          <w:lang w:eastAsia="zh-CN"/>
        </w:rPr>
        <w:t>和</w:t>
      </w:r>
      <w:r>
        <w:rPr>
          <w:rFonts w:hint="eastAsia"/>
          <w:sz w:val="32"/>
          <w:lang w:val="en-US" w:eastAsia="zh-CN"/>
        </w:rPr>
        <w:t>工作</w:t>
      </w:r>
      <w:r>
        <w:rPr>
          <w:sz w:val="32"/>
          <w:lang w:eastAsia="zh-CN"/>
        </w:rPr>
        <w:t>人员同意后，由</w:t>
      </w:r>
      <w:r>
        <w:rPr>
          <w:rFonts w:hint="eastAsia"/>
          <w:sz w:val="32"/>
          <w:lang w:val="en-US" w:eastAsia="zh-CN"/>
        </w:rPr>
        <w:t>工作</w:t>
      </w:r>
      <w:r>
        <w:rPr>
          <w:sz w:val="32"/>
          <w:lang w:eastAsia="zh-CN"/>
        </w:rPr>
        <w:t>人员陪伴离开竞赛场地。</w:t>
      </w:r>
    </w:p>
    <w:p>
      <w:pPr>
        <w:pStyle w:val="5"/>
        <w:ind w:firstLine="640"/>
        <w:rPr>
          <w:sz w:val="32"/>
          <w:lang w:eastAsia="zh-CN"/>
        </w:rPr>
      </w:pPr>
      <w:r>
        <w:rPr>
          <w:sz w:val="32"/>
          <w:lang w:eastAsia="zh-CN"/>
        </w:rPr>
        <w:t>（5）竞赛过程中，选手须严格遵守安全操作规程，并接受裁判员的监督和警示，以确保参赛的人身及设备安全。选手因个人误操作造成人身安全事故和设备故障时，裁判长有权中止该队竞赛；如非选手个人因素出现设备故障而无法竞赛，由裁判长视具体情况做出裁决(调换到备</w:t>
      </w:r>
      <w:r>
        <w:rPr>
          <w:rFonts w:hint="eastAsia"/>
          <w:sz w:val="32"/>
          <w:lang w:val="en-US" w:eastAsia="zh-CN"/>
        </w:rPr>
        <w:t>用</w:t>
      </w:r>
      <w:r>
        <w:rPr>
          <w:sz w:val="32"/>
          <w:lang w:eastAsia="zh-CN"/>
        </w:rPr>
        <w:t>工位或调整至最后一场次参加竞赛)；如裁判长确定设备故障可由技术支持人员排除故障后继续竞赛，将给参赛队补足所耽误的竞赛时间。</w:t>
      </w:r>
    </w:p>
    <w:p>
      <w:pPr>
        <w:pStyle w:val="5"/>
        <w:ind w:firstLine="640"/>
        <w:rPr>
          <w:sz w:val="32"/>
          <w:lang w:eastAsia="zh-CN"/>
        </w:rPr>
      </w:pPr>
      <w:r>
        <w:rPr>
          <w:sz w:val="32"/>
          <w:lang w:eastAsia="zh-CN"/>
        </w:rPr>
        <w:t>（6）裁判长发布竞赛结束指令后，参赛选手应立即停止操作，不得以任何理由拖延竞赛时间，经裁判员检查许可后，参赛选手方可离开竞赛场地，车辆和设备由裁判员恢复。</w:t>
      </w:r>
    </w:p>
    <w:p>
      <w:pPr>
        <w:pStyle w:val="5"/>
        <w:ind w:firstLine="640"/>
        <w:rPr>
          <w:sz w:val="32"/>
          <w:lang w:eastAsia="zh-CN"/>
        </w:rPr>
      </w:pPr>
      <w:r>
        <w:rPr>
          <w:sz w:val="32"/>
          <w:lang w:eastAsia="zh-CN"/>
        </w:rPr>
        <w:t>（7）竞赛过程中因违反安全操作规程造成设备或人身安全事故者，按相关规定追究责任。</w:t>
      </w:r>
    </w:p>
    <w:p>
      <w:pPr>
        <w:pStyle w:val="5"/>
        <w:ind w:firstLine="640"/>
        <w:rPr>
          <w:sz w:val="32"/>
          <w:lang w:eastAsia="zh-CN"/>
        </w:rPr>
      </w:pPr>
      <w:r>
        <w:rPr>
          <w:sz w:val="32"/>
          <w:lang w:eastAsia="zh-CN"/>
        </w:rPr>
        <w:t>（8）赛场统一提供饮水，选手休息、饮食等时间都算在竞赛时间内。</w:t>
      </w:r>
    </w:p>
    <w:p>
      <w:pPr>
        <w:pStyle w:val="5"/>
        <w:ind w:firstLine="640"/>
        <w:rPr>
          <w:sz w:val="32"/>
          <w:lang w:eastAsia="zh-CN"/>
        </w:rPr>
      </w:pPr>
      <w:r>
        <w:rPr>
          <w:rFonts w:hint="eastAsia"/>
          <w:sz w:val="32"/>
          <w:lang w:eastAsia="zh-CN"/>
        </w:rPr>
        <w:t>2</w:t>
      </w:r>
      <w:r>
        <w:rPr>
          <w:sz w:val="32"/>
          <w:lang w:eastAsia="zh-CN"/>
        </w:rPr>
        <w:t>．裁判纪律要求</w:t>
      </w:r>
    </w:p>
    <w:p>
      <w:pPr>
        <w:pStyle w:val="5"/>
        <w:ind w:firstLine="640"/>
        <w:rPr>
          <w:sz w:val="32"/>
          <w:lang w:eastAsia="zh-CN"/>
        </w:rPr>
      </w:pPr>
      <w:r>
        <w:rPr>
          <w:color w:val="auto"/>
          <w:sz w:val="32"/>
          <w:lang w:eastAsia="zh-CN"/>
        </w:rPr>
        <w:t>（1）裁判员在比赛前参加培训</w:t>
      </w:r>
      <w:r>
        <w:rPr>
          <w:rFonts w:hint="eastAsia"/>
          <w:color w:val="auto"/>
          <w:sz w:val="32"/>
          <w:lang w:eastAsia="zh-CN"/>
        </w:rPr>
        <w:t>，并</w:t>
      </w:r>
      <w:r>
        <w:rPr>
          <w:color w:val="auto"/>
          <w:sz w:val="32"/>
          <w:lang w:eastAsia="zh-CN"/>
        </w:rPr>
        <w:t>签署《</w:t>
      </w:r>
      <w:r>
        <w:rPr>
          <w:rFonts w:hint="eastAsia"/>
          <w:color w:val="auto"/>
          <w:sz w:val="32"/>
          <w:lang w:val="en-US" w:eastAsia="zh-CN"/>
        </w:rPr>
        <w:t>许昌市</w:t>
      </w:r>
      <w:r>
        <w:rPr>
          <w:color w:val="auto"/>
          <w:sz w:val="32"/>
          <w:lang w:eastAsia="zh-CN"/>
        </w:rPr>
        <w:t>第</w:t>
      </w:r>
      <w:r>
        <w:rPr>
          <w:rFonts w:hint="eastAsia"/>
          <w:color w:val="auto"/>
          <w:sz w:val="32"/>
          <w:lang w:val="en-US" w:eastAsia="zh-CN"/>
        </w:rPr>
        <w:t>一</w:t>
      </w:r>
      <w:r>
        <w:rPr>
          <w:color w:val="auto"/>
          <w:sz w:val="32"/>
          <w:lang w:eastAsia="zh-CN"/>
        </w:rPr>
        <w:t>届技能大赛竞赛行为规范承诺书》。凡未参加赛前培训、未签署《</w:t>
      </w:r>
      <w:r>
        <w:rPr>
          <w:rFonts w:hint="eastAsia"/>
          <w:color w:val="auto"/>
          <w:sz w:val="32"/>
          <w:lang w:val="en-US" w:eastAsia="zh-CN"/>
        </w:rPr>
        <w:t>许昌市</w:t>
      </w:r>
      <w:r>
        <w:rPr>
          <w:color w:val="auto"/>
          <w:sz w:val="32"/>
          <w:lang w:eastAsia="zh-CN"/>
        </w:rPr>
        <w:t>第</w:t>
      </w:r>
      <w:r>
        <w:rPr>
          <w:rFonts w:hint="eastAsia"/>
          <w:color w:val="auto"/>
          <w:sz w:val="32"/>
          <w:lang w:val="en-US" w:eastAsia="zh-CN"/>
        </w:rPr>
        <w:t>一</w:t>
      </w:r>
      <w:r>
        <w:rPr>
          <w:color w:val="auto"/>
          <w:sz w:val="32"/>
          <w:lang w:eastAsia="zh-CN"/>
        </w:rPr>
        <w:t>届技能大赛竞赛</w:t>
      </w:r>
      <w:r>
        <w:rPr>
          <w:sz w:val="32"/>
          <w:lang w:eastAsia="zh-CN"/>
        </w:rPr>
        <w:t>行为规范承诺书》的，不得从事执裁工作。</w:t>
      </w:r>
    </w:p>
    <w:p>
      <w:pPr>
        <w:pStyle w:val="5"/>
        <w:ind w:firstLine="640"/>
        <w:rPr>
          <w:sz w:val="32"/>
          <w:lang w:eastAsia="zh-CN"/>
        </w:rPr>
      </w:pPr>
      <w:r>
        <w:rPr>
          <w:sz w:val="32"/>
          <w:lang w:eastAsia="zh-CN"/>
        </w:rPr>
        <w:t>（2）裁判员必须服从裁判长的领导，依据评分标准和评分细则，公平、公正、真实、准确地完成竞赛评分工作。</w:t>
      </w:r>
    </w:p>
    <w:p>
      <w:pPr>
        <w:pStyle w:val="5"/>
        <w:ind w:firstLine="640"/>
        <w:rPr>
          <w:sz w:val="32"/>
          <w:lang w:eastAsia="zh-CN"/>
        </w:rPr>
      </w:pPr>
      <w:r>
        <w:rPr>
          <w:sz w:val="32"/>
          <w:lang w:eastAsia="zh-CN"/>
        </w:rPr>
        <w:t>（3）裁判员早上开始工作后当天封闭管理。在正式裁判工作期间，进入场地或离开场地，不许携带任何纸质与电子记录的工具；在比赛期间与休息时间，包括午间吃饭休息时间，不能在当天比赛开始后未结束前与任何非本模块裁判人员和非裁判选手（口头与书面）交流；如需离开裁判工作场地，必须向</w:t>
      </w:r>
      <w:r>
        <w:rPr>
          <w:rFonts w:hint="eastAsia"/>
          <w:sz w:val="32"/>
          <w:lang w:val="en-US" w:eastAsia="zh-CN"/>
        </w:rPr>
        <w:t>裁判长</w:t>
      </w:r>
      <w:r>
        <w:rPr>
          <w:sz w:val="32"/>
          <w:lang w:eastAsia="zh-CN"/>
        </w:rPr>
        <w:t>请示，在得到批准并有人伴随的情况下才能离开。</w:t>
      </w:r>
    </w:p>
    <w:p>
      <w:pPr>
        <w:pStyle w:val="5"/>
        <w:ind w:firstLine="640"/>
        <w:rPr>
          <w:sz w:val="32"/>
          <w:lang w:eastAsia="zh-CN"/>
        </w:rPr>
      </w:pPr>
      <w:r>
        <w:rPr>
          <w:sz w:val="32"/>
          <w:lang w:eastAsia="zh-CN"/>
        </w:rPr>
        <w:t>（4）裁判员必须佩带裁判员胸牌，仪表整洁，举止文明、礼貌，接受</w:t>
      </w:r>
      <w:r>
        <w:rPr>
          <w:rFonts w:hint="eastAsia"/>
          <w:sz w:val="32"/>
          <w:lang w:eastAsia="zh-CN"/>
        </w:rPr>
        <w:t>监督</w:t>
      </w:r>
      <w:r>
        <w:rPr>
          <w:sz w:val="32"/>
          <w:lang w:eastAsia="zh-CN"/>
        </w:rPr>
        <w:t>人员的监督。</w:t>
      </w:r>
    </w:p>
    <w:p>
      <w:pPr>
        <w:pStyle w:val="5"/>
        <w:ind w:firstLine="640"/>
        <w:rPr>
          <w:sz w:val="32"/>
          <w:lang w:eastAsia="zh-CN"/>
        </w:rPr>
      </w:pPr>
      <w:r>
        <w:rPr>
          <w:sz w:val="32"/>
          <w:lang w:eastAsia="zh-CN"/>
        </w:rPr>
        <w:t>（5）遵守职业道德，文明裁判。保守大赛试题秘密，严肃赛场纪律。</w:t>
      </w:r>
    </w:p>
    <w:p>
      <w:pPr>
        <w:pStyle w:val="5"/>
        <w:ind w:firstLine="640"/>
        <w:rPr>
          <w:sz w:val="32"/>
          <w:lang w:eastAsia="zh-CN"/>
        </w:rPr>
      </w:pPr>
      <w:r>
        <w:rPr>
          <w:sz w:val="32"/>
          <w:lang w:eastAsia="zh-CN"/>
        </w:rPr>
        <w:t>（6）严格遵守比赛时间规定，不得擅自提前或延长选手比赛时间。</w:t>
      </w:r>
    </w:p>
    <w:p>
      <w:pPr>
        <w:pStyle w:val="5"/>
        <w:ind w:firstLine="640"/>
        <w:rPr>
          <w:sz w:val="32"/>
          <w:lang w:eastAsia="zh-CN"/>
        </w:rPr>
      </w:pPr>
      <w:r>
        <w:rPr>
          <w:sz w:val="32"/>
          <w:lang w:eastAsia="zh-CN"/>
        </w:rPr>
        <w:t>（7）严格执行比赛规则，除应向参赛选手宣读竞赛须知外，不得向参赛选手暗示或解答与竞赛有关的内容。</w:t>
      </w:r>
    </w:p>
    <w:p>
      <w:pPr>
        <w:pStyle w:val="5"/>
        <w:ind w:firstLine="640"/>
        <w:rPr>
          <w:sz w:val="32"/>
          <w:lang w:eastAsia="zh-CN"/>
        </w:rPr>
      </w:pPr>
      <w:r>
        <w:rPr>
          <w:sz w:val="32"/>
          <w:lang w:eastAsia="zh-CN"/>
        </w:rPr>
        <w:t>（8）竞赛过程中出现问题或异议，服从裁判长裁决，避免参赛选手和相关人员发生争执。</w:t>
      </w:r>
    </w:p>
    <w:p>
      <w:pPr>
        <w:pStyle w:val="5"/>
        <w:ind w:firstLine="640"/>
        <w:rPr>
          <w:sz w:val="32"/>
          <w:lang w:eastAsia="zh-CN"/>
        </w:rPr>
      </w:pPr>
      <w:r>
        <w:rPr>
          <w:sz w:val="32"/>
          <w:lang w:eastAsia="zh-CN"/>
        </w:rPr>
        <w:t>（9）正式公布成绩和名次前，裁判员不得私自与参赛选手或选手派出单位联系，不得透露有关情况。</w:t>
      </w:r>
    </w:p>
    <w:p>
      <w:pPr>
        <w:pStyle w:val="5"/>
        <w:ind w:firstLine="640"/>
        <w:rPr>
          <w:sz w:val="32"/>
          <w:lang w:eastAsia="zh-CN"/>
        </w:rPr>
      </w:pPr>
      <w:r>
        <w:rPr>
          <w:sz w:val="32"/>
          <w:lang w:eastAsia="zh-CN"/>
        </w:rPr>
        <w:t>（10）坚守岗位，不迟到、早退，无特殊情况不得在竞赛期间请假。</w:t>
      </w:r>
    </w:p>
    <w:p>
      <w:pPr>
        <w:pStyle w:val="5"/>
        <w:ind w:firstLine="640"/>
        <w:rPr>
          <w:sz w:val="32"/>
          <w:lang w:eastAsia="zh-CN"/>
        </w:rPr>
      </w:pPr>
      <w:r>
        <w:rPr>
          <w:sz w:val="32"/>
          <w:lang w:eastAsia="zh-CN"/>
        </w:rPr>
        <w:t>（11）裁判员要提醒选手注意操作安全，对选手的违规操作或可能引发人身伤害、设备损坏等事故的操作应立即制止并向</w:t>
      </w:r>
      <w:r>
        <w:rPr>
          <w:rFonts w:hint="eastAsia"/>
          <w:sz w:val="32"/>
          <w:lang w:val="en-US" w:eastAsia="zh-CN"/>
        </w:rPr>
        <w:t>裁判长</w:t>
      </w:r>
      <w:r>
        <w:rPr>
          <w:sz w:val="32"/>
          <w:lang w:eastAsia="zh-CN"/>
        </w:rPr>
        <w:t>报告。</w:t>
      </w:r>
    </w:p>
    <w:p>
      <w:pPr>
        <w:pStyle w:val="5"/>
        <w:ind w:firstLine="640"/>
        <w:rPr>
          <w:sz w:val="32"/>
          <w:lang w:eastAsia="zh-CN"/>
        </w:rPr>
      </w:pPr>
      <w:r>
        <w:rPr>
          <w:sz w:val="32"/>
          <w:lang w:eastAsia="zh-CN"/>
        </w:rPr>
        <w:t>（12）裁判员有违反比赛纪律，由裁判长确定立即停职工作，</w:t>
      </w:r>
      <w:r>
        <w:rPr>
          <w:rFonts w:hint="eastAsia"/>
          <w:sz w:val="32"/>
          <w:lang w:val="en-US" w:eastAsia="zh-CN"/>
        </w:rPr>
        <w:t>并按照大赛组委会规定处理</w:t>
      </w:r>
      <w:r>
        <w:rPr>
          <w:sz w:val="32"/>
          <w:lang w:eastAsia="zh-CN"/>
        </w:rPr>
        <w:t>。</w:t>
      </w:r>
    </w:p>
    <w:p>
      <w:pPr>
        <w:spacing w:line="560" w:lineRule="exact"/>
        <w:ind w:firstLine="643"/>
        <w:outlineLvl w:val="1"/>
        <w:rPr>
          <w:rFonts w:ascii="楷体" w:hAnsi="楷体" w:eastAsia="楷体" w:cs="楷体"/>
          <w:b/>
          <w:bCs/>
          <w:color w:val="auto"/>
          <w:sz w:val="32"/>
          <w:szCs w:val="32"/>
          <w:lang w:eastAsia="zh-CN"/>
        </w:rPr>
      </w:pPr>
      <w:bookmarkStart w:id="38" w:name="_Toc14874"/>
      <w:bookmarkStart w:id="39" w:name="_Toc27787"/>
      <w:bookmarkStart w:id="40" w:name="_Toc4924"/>
      <w:r>
        <w:rPr>
          <w:rFonts w:hint="eastAsia" w:ascii="楷体" w:hAnsi="楷体" w:eastAsia="楷体" w:cs="楷体"/>
          <w:b/>
          <w:bCs/>
          <w:color w:val="auto"/>
          <w:sz w:val="32"/>
          <w:szCs w:val="32"/>
          <w:lang w:eastAsia="zh-CN"/>
        </w:rPr>
        <w:t>（五）问题或争议处理</w:t>
      </w:r>
      <w:bookmarkEnd w:id="38"/>
      <w:bookmarkEnd w:id="39"/>
      <w:bookmarkEnd w:id="40"/>
    </w:p>
    <w:p>
      <w:pPr>
        <w:spacing w:line="560" w:lineRule="exact"/>
        <w:ind w:firstLine="640"/>
        <w:rPr>
          <w:rFonts w:ascii="仿宋" w:hAnsi="仿宋" w:eastAsia="仿宋" w:cs="仿宋"/>
          <w:color w:val="auto"/>
          <w:sz w:val="32"/>
          <w:szCs w:val="32"/>
          <w:lang w:eastAsia="zh-CN"/>
        </w:rPr>
      </w:pPr>
      <w:r>
        <w:rPr>
          <w:rFonts w:hint="eastAsia" w:ascii="仿宋" w:hAnsi="仿宋" w:eastAsia="仿宋" w:cs="仿宋"/>
          <w:color w:val="auto"/>
          <w:sz w:val="32"/>
          <w:szCs w:val="32"/>
          <w:lang w:eastAsia="zh-CN"/>
        </w:rPr>
        <w:t>对竞赛期间出现的问题或争议按以下程序解决：</w:t>
      </w:r>
    </w:p>
    <w:p>
      <w:pPr>
        <w:spacing w:line="560" w:lineRule="exact"/>
        <w:ind w:firstLine="640"/>
        <w:rPr>
          <w:rFonts w:ascii="仿宋" w:hAnsi="仿宋" w:eastAsia="仿宋" w:cs="仿宋"/>
          <w:color w:val="auto"/>
          <w:sz w:val="32"/>
          <w:szCs w:val="32"/>
          <w:lang w:eastAsia="zh-CN"/>
        </w:rPr>
      </w:pPr>
      <w:r>
        <w:rPr>
          <w:rFonts w:hint="eastAsia" w:ascii="仿宋" w:hAnsi="仿宋" w:eastAsia="仿宋" w:cs="仿宋"/>
          <w:color w:val="auto"/>
          <w:sz w:val="32"/>
          <w:szCs w:val="32"/>
          <w:lang w:eastAsia="zh-CN"/>
        </w:rPr>
        <w:t>1.竞赛项目内解决</w:t>
      </w:r>
    </w:p>
    <w:p>
      <w:pPr>
        <w:spacing w:line="560" w:lineRule="exact"/>
        <w:ind w:firstLine="640"/>
        <w:rPr>
          <w:rFonts w:ascii="仿宋" w:hAnsi="仿宋" w:eastAsia="仿宋" w:cs="仿宋"/>
          <w:color w:val="auto"/>
          <w:sz w:val="32"/>
          <w:szCs w:val="32"/>
          <w:lang w:eastAsia="zh-CN"/>
        </w:rPr>
      </w:pPr>
      <w:r>
        <w:rPr>
          <w:rFonts w:hint="eastAsia" w:ascii="仿宋" w:hAnsi="仿宋" w:eastAsia="仿宋" w:cs="仿宋"/>
          <w:color w:val="auto"/>
          <w:sz w:val="32"/>
          <w:szCs w:val="32"/>
          <w:lang w:eastAsia="zh-CN"/>
        </w:rPr>
        <w:t>参赛选手、裁判员发现竞赛过程中存在问题或争议，应向项目裁判长反映。裁判长依据相关规定处理或组织比赛现场裁判员研究解决。处理意见需比赛现场全体裁判员表决的，须获全体裁判员半数以上通过。最终处理意见应及时告知意见反映人，并填写《</w:t>
      </w:r>
      <w:r>
        <w:rPr>
          <w:rFonts w:hint="eastAsia" w:ascii="仿宋" w:hAnsi="仿宋" w:eastAsia="仿宋" w:cs="仿宋"/>
          <w:color w:val="auto"/>
          <w:sz w:val="32"/>
          <w:szCs w:val="32"/>
          <w:lang w:val="en-US" w:eastAsia="zh-CN"/>
        </w:rPr>
        <w:t>许昌市</w:t>
      </w:r>
      <w:r>
        <w:rPr>
          <w:rFonts w:hint="eastAsia" w:ascii="仿宋" w:hAnsi="仿宋" w:eastAsia="仿宋" w:cs="仿宋"/>
          <w:color w:val="auto"/>
          <w:sz w:val="32"/>
          <w:szCs w:val="32"/>
          <w:lang w:eastAsia="zh-CN"/>
        </w:rPr>
        <w:t>第</w:t>
      </w:r>
      <w:r>
        <w:rPr>
          <w:rFonts w:hint="eastAsia" w:ascii="仿宋" w:hAnsi="仿宋" w:eastAsia="仿宋" w:cs="仿宋"/>
          <w:color w:val="auto"/>
          <w:sz w:val="32"/>
          <w:szCs w:val="32"/>
          <w:lang w:val="en-US" w:eastAsia="zh-CN"/>
        </w:rPr>
        <w:t>一</w:t>
      </w:r>
      <w:r>
        <w:rPr>
          <w:rFonts w:hint="eastAsia" w:ascii="仿宋" w:hAnsi="仿宋" w:eastAsia="仿宋" w:cs="仿宋"/>
          <w:color w:val="auto"/>
          <w:sz w:val="32"/>
          <w:szCs w:val="32"/>
          <w:lang w:eastAsia="zh-CN"/>
        </w:rPr>
        <w:t>届职业技能大赛问题或争议处理记录表》（以下简称《争议处理记录表》。</w:t>
      </w:r>
    </w:p>
    <w:p>
      <w:pPr>
        <w:spacing w:line="560" w:lineRule="exact"/>
        <w:ind w:firstLine="640"/>
        <w:rPr>
          <w:rFonts w:ascii="仿宋" w:hAnsi="仿宋" w:eastAsia="仿宋" w:cs="仿宋"/>
          <w:color w:val="auto"/>
          <w:sz w:val="32"/>
          <w:szCs w:val="32"/>
          <w:lang w:eastAsia="zh-CN"/>
        </w:rPr>
      </w:pPr>
      <w:r>
        <w:rPr>
          <w:rFonts w:hint="eastAsia" w:ascii="仿宋" w:hAnsi="仿宋" w:eastAsia="仿宋" w:cs="仿宋"/>
          <w:color w:val="auto"/>
          <w:sz w:val="32"/>
          <w:szCs w:val="32"/>
          <w:lang w:eastAsia="zh-CN"/>
        </w:rPr>
        <w:t>2.监督仲裁组解决</w:t>
      </w:r>
    </w:p>
    <w:p>
      <w:pPr>
        <w:spacing w:line="560" w:lineRule="exact"/>
        <w:ind w:firstLine="640"/>
        <w:rPr>
          <w:rFonts w:hint="eastAsia" w:ascii="仿宋" w:hAnsi="仿宋" w:eastAsia="仿宋" w:cs="仿宋"/>
          <w:sz w:val="32"/>
          <w:szCs w:val="32"/>
          <w:lang w:eastAsia="zh-CN"/>
        </w:rPr>
      </w:pPr>
      <w:r>
        <w:rPr>
          <w:rFonts w:hint="eastAsia" w:ascii="仿宋" w:hAnsi="仿宋" w:eastAsia="仿宋" w:cs="仿宋"/>
          <w:color w:val="auto"/>
          <w:sz w:val="32"/>
          <w:szCs w:val="32"/>
          <w:lang w:eastAsia="zh-CN"/>
        </w:rPr>
        <w:t>对项目内处理结果有异议的，在规定时间内，各参赛队领队可向监督仲裁组出具署名的书面反映材料并举证。</w:t>
      </w:r>
    </w:p>
    <w:p>
      <w:pPr>
        <w:pStyle w:val="3"/>
        <w:spacing w:before="72"/>
        <w:ind w:firstLine="640"/>
        <w:rPr>
          <w:rFonts w:ascii="黑体" w:hAnsi="黑体" w:eastAsia="黑体" w:cs="黑体"/>
          <w:b w:val="0"/>
          <w:bCs w:val="0"/>
          <w:sz w:val="32"/>
          <w:lang w:eastAsia="zh-CN"/>
        </w:rPr>
      </w:pPr>
      <w:bookmarkStart w:id="41" w:name="2．裁判纪律要求"/>
      <w:bookmarkEnd w:id="41"/>
      <w:bookmarkStart w:id="42" w:name="四、竞赛场地、设施设备"/>
      <w:bookmarkEnd w:id="42"/>
      <w:bookmarkStart w:id="43" w:name="_Toc16493"/>
      <w:r>
        <w:rPr>
          <w:rFonts w:hint="eastAsia" w:ascii="黑体" w:hAnsi="黑体" w:eastAsia="黑体" w:cs="黑体"/>
          <w:b w:val="0"/>
          <w:bCs w:val="0"/>
          <w:sz w:val="32"/>
          <w:lang w:eastAsia="zh-CN"/>
        </w:rPr>
        <w:t>四、竞赛场地、设施设备</w:t>
      </w:r>
      <w:bookmarkEnd w:id="43"/>
    </w:p>
    <w:p>
      <w:pPr>
        <w:pStyle w:val="4"/>
        <w:ind w:firstLine="643"/>
        <w:rPr>
          <w:sz w:val="32"/>
          <w:lang w:eastAsia="zh-CN"/>
        </w:rPr>
      </w:pPr>
      <w:bookmarkStart w:id="44" w:name="（一）赛场规格要求"/>
      <w:bookmarkEnd w:id="44"/>
      <w:bookmarkStart w:id="45" w:name="_Toc31040"/>
      <w:r>
        <w:rPr>
          <w:sz w:val="32"/>
          <w:lang w:eastAsia="zh-CN"/>
        </w:rPr>
        <w:t>（一）赛场规格要求</w:t>
      </w:r>
      <w:bookmarkEnd w:id="45"/>
    </w:p>
    <w:p>
      <w:pPr>
        <w:pStyle w:val="5"/>
        <w:ind w:firstLine="643"/>
        <w:rPr>
          <w:rFonts w:cs="仿宋"/>
          <w:sz w:val="32"/>
          <w:lang w:eastAsia="zh-CN"/>
        </w:rPr>
      </w:pPr>
      <w:bookmarkStart w:id="46" w:name="1．场地面积和布置要求"/>
      <w:bookmarkEnd w:id="46"/>
      <w:r>
        <w:rPr>
          <w:rFonts w:hint="eastAsia" w:cs="仿宋"/>
          <w:b/>
          <w:bCs/>
          <w:sz w:val="32"/>
          <w:lang w:eastAsia="zh-CN"/>
        </w:rPr>
        <w:t>1</w:t>
      </w:r>
      <w:r>
        <w:rPr>
          <w:rFonts w:hint="eastAsia" w:cs="仿宋"/>
          <w:sz w:val="32"/>
          <w:lang w:eastAsia="zh-CN"/>
        </w:rPr>
        <w:t>．场地面积和布置要求</w:t>
      </w:r>
    </w:p>
    <w:p>
      <w:pPr>
        <w:pStyle w:val="5"/>
        <w:ind w:firstLine="640"/>
        <w:rPr>
          <w:rFonts w:cs="仿宋"/>
          <w:kern w:val="2"/>
          <w:sz w:val="32"/>
          <w:lang w:eastAsia="zh-CN"/>
        </w:rPr>
      </w:pPr>
      <w:r>
        <w:rPr>
          <w:rFonts w:hint="eastAsia" w:cs="仿宋"/>
          <w:sz w:val="32"/>
          <w:lang w:eastAsia="zh-CN"/>
        </w:rPr>
        <w:t>（1）</w:t>
      </w:r>
      <w:r>
        <w:rPr>
          <w:rFonts w:hint="eastAsia" w:cs="仿宋"/>
          <w:kern w:val="2"/>
          <w:sz w:val="32"/>
          <w:lang w:eastAsia="zh-CN"/>
        </w:rPr>
        <w:t>比赛场地内设置明显的标志指示个区域。赛场区域及面积要求：比赛区域面积不低于1</w:t>
      </w:r>
      <w:r>
        <w:rPr>
          <w:rFonts w:cs="仿宋"/>
          <w:kern w:val="2"/>
          <w:sz w:val="32"/>
          <w:lang w:eastAsia="zh-CN"/>
        </w:rPr>
        <w:t>360</w:t>
      </w:r>
      <w:r>
        <w:rPr>
          <w:rFonts w:hint="eastAsia" w:cs="仿宋"/>
          <w:kern w:val="2"/>
          <w:sz w:val="32"/>
          <w:lang w:eastAsia="zh-CN"/>
        </w:rPr>
        <w:t>（1</w:t>
      </w:r>
      <w:r>
        <w:rPr>
          <w:rFonts w:cs="仿宋"/>
          <w:kern w:val="2"/>
          <w:sz w:val="32"/>
          <w:lang w:eastAsia="zh-CN"/>
        </w:rPr>
        <w:t>7*80</w:t>
      </w:r>
      <w:r>
        <w:rPr>
          <w:rFonts w:hint="eastAsia" w:cs="仿宋"/>
          <w:kern w:val="2"/>
          <w:sz w:val="32"/>
          <w:lang w:eastAsia="zh-CN"/>
        </w:rPr>
        <w:t>）平米、选手休息室面积不低于90平米、裁判工作室面积不低于</w:t>
      </w:r>
      <w:r>
        <w:rPr>
          <w:rFonts w:cs="仿宋"/>
          <w:kern w:val="2"/>
          <w:sz w:val="32"/>
          <w:lang w:eastAsia="zh-CN"/>
        </w:rPr>
        <w:t>5</w:t>
      </w:r>
      <w:r>
        <w:rPr>
          <w:rFonts w:hint="eastAsia" w:cs="仿宋"/>
          <w:kern w:val="2"/>
          <w:sz w:val="32"/>
          <w:lang w:eastAsia="zh-CN"/>
        </w:rPr>
        <w:t>0平米、参观通道宽度不低于2米，参观者活动休息区域面积不低于200平米。</w:t>
      </w:r>
    </w:p>
    <w:p>
      <w:pPr>
        <w:pStyle w:val="5"/>
        <w:ind w:firstLine="640"/>
        <w:rPr>
          <w:rFonts w:cs="仿宋"/>
          <w:sz w:val="32"/>
          <w:lang w:eastAsia="zh-CN"/>
        </w:rPr>
      </w:pPr>
      <w:r>
        <w:rPr>
          <w:rFonts w:hint="eastAsia" w:cs="仿宋"/>
          <w:sz w:val="32"/>
          <w:lang w:eastAsia="zh-CN"/>
        </w:rPr>
        <w:t>（2）比赛场地应安装尾气抽排系统。</w:t>
      </w:r>
    </w:p>
    <w:p>
      <w:pPr>
        <w:pStyle w:val="5"/>
        <w:ind w:firstLine="640"/>
        <w:rPr>
          <w:rFonts w:cs="仿宋"/>
          <w:kern w:val="2"/>
          <w:sz w:val="32"/>
          <w:lang w:eastAsia="zh-CN"/>
        </w:rPr>
      </w:pPr>
      <w:r>
        <w:rPr>
          <w:rFonts w:hint="eastAsia" w:cs="仿宋"/>
          <w:sz w:val="32"/>
          <w:lang w:eastAsia="zh-CN"/>
        </w:rPr>
        <w:t>（3）</w:t>
      </w:r>
      <w:r>
        <w:rPr>
          <w:rFonts w:hint="eastAsia" w:cs="仿宋"/>
          <w:kern w:val="2"/>
          <w:sz w:val="32"/>
          <w:lang w:eastAsia="zh-CN"/>
        </w:rPr>
        <w:t>发动机管理系统故障诊断与维修模块、车身电气系统故障诊断与维修模块设置</w:t>
      </w:r>
      <w:r>
        <w:rPr>
          <w:rFonts w:hint="eastAsia" w:cs="仿宋"/>
          <w:kern w:val="2"/>
          <w:sz w:val="32"/>
          <w:lang w:val="en-US" w:eastAsia="zh-CN"/>
        </w:rPr>
        <w:t>5</w:t>
      </w:r>
      <w:r>
        <w:rPr>
          <w:rFonts w:hint="eastAsia" w:cs="仿宋"/>
          <w:kern w:val="2"/>
          <w:sz w:val="32"/>
          <w:lang w:eastAsia="zh-CN"/>
        </w:rPr>
        <w:t>个工位，</w:t>
      </w:r>
      <w:r>
        <w:rPr>
          <w:rFonts w:hint="eastAsia" w:cs="仿宋"/>
          <w:kern w:val="2"/>
          <w:sz w:val="32"/>
          <w:lang w:val="en-US" w:eastAsia="zh-CN"/>
        </w:rPr>
        <w:t>4</w:t>
      </w:r>
      <w:r>
        <w:rPr>
          <w:rFonts w:hint="eastAsia" w:cs="仿宋"/>
          <w:kern w:val="2"/>
          <w:sz w:val="32"/>
          <w:lang w:eastAsia="zh-CN"/>
        </w:rPr>
        <w:t>个比赛工位，</w:t>
      </w:r>
      <w:r>
        <w:rPr>
          <w:rFonts w:cs="仿宋"/>
          <w:kern w:val="2"/>
          <w:sz w:val="32"/>
          <w:lang w:eastAsia="zh-CN"/>
        </w:rPr>
        <w:t>1</w:t>
      </w:r>
      <w:r>
        <w:rPr>
          <w:rFonts w:hint="eastAsia" w:cs="仿宋"/>
          <w:kern w:val="2"/>
          <w:sz w:val="32"/>
          <w:lang w:eastAsia="zh-CN"/>
        </w:rPr>
        <w:t>个备用工位。工位面积：</w:t>
      </w:r>
      <w:r>
        <w:rPr>
          <w:rFonts w:hint="eastAsia" w:cs="仿宋"/>
          <w:kern w:val="2"/>
          <w:sz w:val="32"/>
          <w:lang w:val="en-US" w:eastAsia="zh-CN"/>
        </w:rPr>
        <w:t>5</w:t>
      </w:r>
      <w:r>
        <w:rPr>
          <w:rFonts w:hint="eastAsia" w:cs="仿宋"/>
          <w:kern w:val="2"/>
          <w:sz w:val="32"/>
          <w:lang w:eastAsia="zh-CN"/>
        </w:rPr>
        <w:t>米×</w:t>
      </w:r>
      <w:r>
        <w:rPr>
          <w:rFonts w:hint="eastAsia" w:cs="仿宋"/>
          <w:kern w:val="2"/>
          <w:sz w:val="32"/>
          <w:lang w:val="en-US" w:eastAsia="zh-CN"/>
        </w:rPr>
        <w:t>8</w:t>
      </w:r>
      <w:r>
        <w:rPr>
          <w:rFonts w:hint="eastAsia" w:cs="仿宋"/>
          <w:kern w:val="2"/>
          <w:sz w:val="32"/>
          <w:lang w:eastAsia="zh-CN"/>
        </w:rPr>
        <w:t>米。每个工位配备比赛用车1台，电脑1台，工具车1个，零件车1个，裁判桌椅1套，选手桌椅1套，配齐相应的仪器设备和辅助用品。</w:t>
      </w:r>
    </w:p>
    <w:p>
      <w:pPr>
        <w:pStyle w:val="5"/>
        <w:ind w:firstLine="643"/>
        <w:rPr>
          <w:rFonts w:cs="仿宋"/>
          <w:sz w:val="32"/>
          <w:lang w:eastAsia="zh-CN"/>
        </w:rPr>
      </w:pPr>
      <w:bookmarkStart w:id="47" w:name="2．场地设施要求"/>
      <w:bookmarkEnd w:id="47"/>
      <w:r>
        <w:rPr>
          <w:rFonts w:hint="eastAsia" w:cs="仿宋"/>
          <w:b/>
          <w:bCs/>
          <w:sz w:val="32"/>
          <w:lang w:eastAsia="zh-CN"/>
        </w:rPr>
        <w:t>2</w:t>
      </w:r>
      <w:r>
        <w:rPr>
          <w:rFonts w:hint="eastAsia" w:cs="仿宋"/>
          <w:sz w:val="32"/>
          <w:lang w:eastAsia="zh-CN"/>
        </w:rPr>
        <w:t>．场地设施要求</w:t>
      </w:r>
    </w:p>
    <w:p>
      <w:pPr>
        <w:pStyle w:val="5"/>
        <w:ind w:firstLine="640"/>
        <w:rPr>
          <w:rFonts w:cs="仿宋"/>
          <w:sz w:val="32"/>
          <w:lang w:eastAsia="zh-CN"/>
        </w:rPr>
      </w:pPr>
      <w:r>
        <w:rPr>
          <w:rFonts w:hint="eastAsia" w:cs="仿宋"/>
          <w:sz w:val="32"/>
          <w:lang w:eastAsia="zh-CN"/>
        </w:rPr>
        <w:t>（1）比赛场地配有标准的整车作业工位、选手休息室、裁判工作室、男、女厕所等。并有醒目的工位标识，指示牌等。</w:t>
      </w:r>
    </w:p>
    <w:p>
      <w:pPr>
        <w:pStyle w:val="5"/>
        <w:ind w:firstLine="640"/>
        <w:rPr>
          <w:rFonts w:cs="仿宋"/>
          <w:sz w:val="32"/>
          <w:lang w:eastAsia="zh-CN"/>
        </w:rPr>
      </w:pPr>
      <w:r>
        <w:rPr>
          <w:rFonts w:hint="eastAsia" w:cs="仿宋"/>
          <w:sz w:val="32"/>
          <w:lang w:eastAsia="zh-CN"/>
        </w:rPr>
        <w:t>（2）比赛场地安装录像监控设备。</w:t>
      </w:r>
    </w:p>
    <w:p>
      <w:pPr>
        <w:pStyle w:val="5"/>
        <w:ind w:firstLine="640"/>
        <w:rPr>
          <w:rFonts w:cs="仿宋"/>
          <w:sz w:val="32"/>
          <w:lang w:eastAsia="zh-CN"/>
        </w:rPr>
      </w:pPr>
      <w:r>
        <w:rPr>
          <w:rFonts w:hint="eastAsia" w:cs="仿宋"/>
          <w:sz w:val="32"/>
          <w:lang w:eastAsia="zh-CN"/>
        </w:rPr>
        <w:t>（3）选手休息室配备桌椅、饮水机等。</w:t>
      </w:r>
    </w:p>
    <w:p>
      <w:pPr>
        <w:pStyle w:val="5"/>
        <w:ind w:firstLine="640"/>
        <w:rPr>
          <w:rFonts w:cs="仿宋"/>
          <w:sz w:val="32"/>
          <w:lang w:eastAsia="zh-CN"/>
        </w:rPr>
      </w:pPr>
      <w:r>
        <w:rPr>
          <w:rFonts w:hint="eastAsia" w:cs="仿宋"/>
          <w:sz w:val="32"/>
          <w:lang w:eastAsia="zh-CN"/>
        </w:rPr>
        <w:t>（4）裁判工作室配备桌椅、电脑、一体机、打印机、文件柜等办公设备。</w:t>
      </w:r>
    </w:p>
    <w:p>
      <w:pPr>
        <w:pStyle w:val="5"/>
        <w:ind w:firstLine="643"/>
        <w:rPr>
          <w:rFonts w:cs="仿宋"/>
          <w:sz w:val="32"/>
          <w:lang w:eastAsia="zh-CN"/>
        </w:rPr>
      </w:pPr>
      <w:bookmarkStart w:id="48" w:name="3．场地照明要求"/>
      <w:bookmarkEnd w:id="48"/>
      <w:r>
        <w:rPr>
          <w:rFonts w:hint="eastAsia" w:cs="仿宋"/>
          <w:b/>
          <w:bCs/>
          <w:sz w:val="32"/>
          <w:lang w:eastAsia="zh-CN"/>
        </w:rPr>
        <w:t>3</w:t>
      </w:r>
      <w:r>
        <w:rPr>
          <w:rFonts w:hint="eastAsia" w:cs="仿宋"/>
          <w:sz w:val="32"/>
          <w:lang w:eastAsia="zh-CN"/>
        </w:rPr>
        <w:t>．场地照明要求</w:t>
      </w:r>
    </w:p>
    <w:p>
      <w:pPr>
        <w:pStyle w:val="5"/>
        <w:ind w:firstLine="640"/>
        <w:rPr>
          <w:rFonts w:cs="仿宋"/>
          <w:sz w:val="32"/>
          <w:lang w:eastAsia="zh-CN"/>
        </w:rPr>
      </w:pPr>
      <w:r>
        <w:rPr>
          <w:rFonts w:hint="eastAsia" w:cs="仿宋"/>
          <w:sz w:val="32"/>
          <w:lang w:eastAsia="zh-CN"/>
        </w:rPr>
        <w:t>（1）比赛场地应采光良好，有玻璃窗，能保证白天进行正常的比赛。</w:t>
      </w:r>
    </w:p>
    <w:p>
      <w:pPr>
        <w:pStyle w:val="5"/>
        <w:ind w:firstLine="640"/>
        <w:rPr>
          <w:rFonts w:cs="仿宋"/>
          <w:sz w:val="32"/>
          <w:lang w:eastAsia="zh-CN"/>
        </w:rPr>
      </w:pPr>
      <w:r>
        <w:rPr>
          <w:rFonts w:hint="eastAsia" w:cs="仿宋"/>
          <w:sz w:val="32"/>
          <w:lang w:eastAsia="zh-CN"/>
        </w:rPr>
        <w:t>（2）比赛场地应安装足够的节能灯，能保证在傍晚或光线暗时也能进行正常的比赛。</w:t>
      </w:r>
    </w:p>
    <w:p>
      <w:pPr>
        <w:pStyle w:val="5"/>
        <w:ind w:firstLine="640"/>
        <w:rPr>
          <w:rFonts w:cs="仿宋"/>
          <w:sz w:val="32"/>
          <w:lang w:eastAsia="zh-CN"/>
        </w:rPr>
      </w:pPr>
      <w:r>
        <w:rPr>
          <w:rFonts w:hint="eastAsia" w:cs="仿宋"/>
          <w:sz w:val="32"/>
          <w:lang w:eastAsia="zh-CN"/>
        </w:rPr>
        <w:t>（3）每个比赛工位应配备照明灯或电筒。</w:t>
      </w:r>
    </w:p>
    <w:p>
      <w:pPr>
        <w:pStyle w:val="5"/>
        <w:ind w:firstLine="643"/>
        <w:rPr>
          <w:rFonts w:cs="仿宋"/>
          <w:sz w:val="32"/>
          <w:lang w:eastAsia="zh-CN"/>
        </w:rPr>
      </w:pPr>
      <w:bookmarkStart w:id="49" w:name="4．场地消防和逃生要求"/>
      <w:bookmarkEnd w:id="49"/>
      <w:r>
        <w:rPr>
          <w:rFonts w:hint="eastAsia" w:cs="仿宋"/>
          <w:b/>
          <w:bCs/>
          <w:sz w:val="32"/>
          <w:lang w:eastAsia="zh-CN"/>
        </w:rPr>
        <w:t>4</w:t>
      </w:r>
      <w:r>
        <w:rPr>
          <w:rFonts w:hint="eastAsia" w:cs="仿宋"/>
          <w:sz w:val="32"/>
          <w:lang w:eastAsia="zh-CN"/>
        </w:rPr>
        <w:t>．场地消防和逃生要求</w:t>
      </w:r>
    </w:p>
    <w:p>
      <w:pPr>
        <w:pStyle w:val="5"/>
        <w:ind w:firstLine="640"/>
        <w:rPr>
          <w:rFonts w:cs="仿宋"/>
          <w:sz w:val="32"/>
          <w:lang w:eastAsia="zh-CN"/>
        </w:rPr>
      </w:pPr>
      <w:r>
        <w:rPr>
          <w:rFonts w:hint="eastAsia" w:cs="仿宋"/>
          <w:sz w:val="32"/>
          <w:lang w:eastAsia="zh-CN"/>
        </w:rPr>
        <w:t>（1）比赛场地内必须悬挂“紧急情况安全疏散图”，并有醒目的“安全出口”指示牌。</w:t>
      </w:r>
    </w:p>
    <w:p>
      <w:pPr>
        <w:pStyle w:val="5"/>
        <w:ind w:firstLine="640"/>
        <w:rPr>
          <w:rFonts w:cs="仿宋"/>
          <w:kern w:val="2"/>
          <w:sz w:val="32"/>
          <w:lang w:eastAsia="zh-CN"/>
        </w:rPr>
      </w:pPr>
      <w:r>
        <w:rPr>
          <w:rFonts w:hint="eastAsia" w:cs="仿宋"/>
          <w:sz w:val="32"/>
          <w:lang w:eastAsia="zh-CN"/>
        </w:rPr>
        <w:t>（2）</w:t>
      </w:r>
      <w:r>
        <w:rPr>
          <w:rFonts w:hint="eastAsia" w:cs="仿宋"/>
          <w:kern w:val="2"/>
          <w:sz w:val="32"/>
          <w:lang w:eastAsia="zh-CN"/>
        </w:rPr>
        <w:t>比赛场地内应留有至少1.5米宽的“安全疏散通道”，地面画有清楚的“安全通道标识线”。</w:t>
      </w:r>
    </w:p>
    <w:p>
      <w:pPr>
        <w:pStyle w:val="5"/>
        <w:ind w:firstLine="640"/>
        <w:rPr>
          <w:rFonts w:cs="仿宋"/>
          <w:kern w:val="2"/>
          <w:sz w:val="32"/>
          <w:lang w:eastAsia="zh-CN"/>
        </w:rPr>
      </w:pPr>
      <w:r>
        <w:rPr>
          <w:rFonts w:hint="eastAsia" w:cs="仿宋"/>
          <w:sz w:val="32"/>
          <w:lang w:eastAsia="zh-CN"/>
        </w:rPr>
        <w:t>（3）</w:t>
      </w:r>
      <w:r>
        <w:rPr>
          <w:rFonts w:hint="eastAsia" w:cs="仿宋"/>
          <w:kern w:val="2"/>
          <w:sz w:val="32"/>
          <w:lang w:eastAsia="zh-CN"/>
        </w:rPr>
        <w:t>比赛场地内必须</w:t>
      </w:r>
      <w:r>
        <w:rPr>
          <w:rFonts w:ascii="LinTimes" w:hAnsi="LinTimes" w:cs="LinTimes"/>
          <w:kern w:val="2"/>
          <w:sz w:val="32"/>
          <w:lang w:eastAsia="zh-CN"/>
        </w:rPr>
        <w:t>配备足够的灭火器，每一个比赛工位须配</w:t>
      </w:r>
      <w:r>
        <w:rPr>
          <w:rFonts w:hint="eastAsia" w:cs="仿宋"/>
          <w:kern w:val="2"/>
          <w:sz w:val="32"/>
          <w:lang w:eastAsia="zh-CN"/>
        </w:rPr>
        <w:t>置灭火器1个。</w:t>
      </w:r>
    </w:p>
    <w:p>
      <w:pPr>
        <w:pStyle w:val="4"/>
        <w:ind w:firstLine="643"/>
        <w:rPr>
          <w:sz w:val="32"/>
          <w:lang w:eastAsia="zh-CN"/>
        </w:rPr>
      </w:pPr>
      <w:bookmarkStart w:id="50" w:name="（二）场地布局图"/>
      <w:bookmarkEnd w:id="50"/>
      <w:bookmarkStart w:id="51" w:name="_Toc30418"/>
      <w:r>
        <w:rPr>
          <w:sz w:val="32"/>
          <w:lang w:eastAsia="zh-CN"/>
        </w:rPr>
        <w:t>（二）场地布局图</w:t>
      </w:r>
      <w:bookmarkEnd w:id="51"/>
    </w:p>
    <w:p>
      <w:pPr>
        <w:pStyle w:val="5"/>
        <w:ind w:firstLine="640"/>
        <w:rPr>
          <w:sz w:val="32"/>
          <w:lang w:eastAsia="zh-CN"/>
        </w:rPr>
      </w:pPr>
      <w:r>
        <w:rPr>
          <w:rFonts w:hint="eastAsia"/>
          <w:sz w:val="32"/>
          <w:lang w:eastAsia="zh-CN"/>
        </w:rPr>
        <w:t>汽车</w:t>
      </w:r>
      <w:r>
        <w:rPr>
          <w:rFonts w:hint="eastAsia"/>
          <w:sz w:val="32"/>
          <w:lang w:val="en-US" w:eastAsia="zh-CN"/>
        </w:rPr>
        <w:t>技术</w:t>
      </w:r>
      <w:r>
        <w:rPr>
          <w:sz w:val="32"/>
          <w:lang w:eastAsia="zh-CN"/>
        </w:rPr>
        <w:t>项目场地布局图如下。</w:t>
      </w:r>
    </w:p>
    <w:p>
      <w:pPr>
        <w:pStyle w:val="5"/>
        <w:ind w:firstLine="0" w:firstLineChars="0"/>
        <w:jc w:val="center"/>
        <w:rPr>
          <w:sz w:val="32"/>
          <w:lang w:eastAsia="zh-CN"/>
        </w:rPr>
      </w:pPr>
      <w:r>
        <w:rPr>
          <w:sz w:val="32"/>
          <w:lang w:eastAsia="zh-CN"/>
        </w:rPr>
        <w:drawing>
          <wp:inline distT="0" distB="0" distL="114300" distR="114300">
            <wp:extent cx="3848100" cy="5101590"/>
            <wp:effectExtent l="0" t="0" r="7620" b="3810"/>
            <wp:docPr id="1" name="图片 1" descr="微信图片_20240415144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40415144349"/>
                    <pic:cNvPicPr>
                      <a:picLocks noChangeAspect="1"/>
                    </pic:cNvPicPr>
                  </pic:nvPicPr>
                  <pic:blipFill>
                    <a:blip r:embed="rId13"/>
                    <a:stretch>
                      <a:fillRect/>
                    </a:stretch>
                  </pic:blipFill>
                  <pic:spPr>
                    <a:xfrm>
                      <a:off x="0" y="0"/>
                      <a:ext cx="3848100" cy="5101590"/>
                    </a:xfrm>
                    <a:prstGeom prst="rect">
                      <a:avLst/>
                    </a:prstGeom>
                  </pic:spPr>
                </pic:pic>
              </a:graphicData>
            </a:graphic>
          </wp:inline>
        </w:drawing>
      </w:r>
    </w:p>
    <w:p>
      <w:pPr>
        <w:pStyle w:val="4"/>
        <w:ind w:firstLine="643"/>
        <w:rPr>
          <w:sz w:val="32"/>
          <w:lang w:eastAsia="zh-CN"/>
        </w:rPr>
      </w:pPr>
      <w:bookmarkStart w:id="52" w:name="（三）基础设施清单"/>
      <w:bookmarkEnd w:id="52"/>
      <w:bookmarkStart w:id="53" w:name="_Toc9130"/>
      <w:r>
        <w:rPr>
          <w:sz w:val="32"/>
          <w:lang w:eastAsia="zh-CN"/>
        </w:rPr>
        <w:t>（三）基础设施清单</w:t>
      </w:r>
      <w:bookmarkEnd w:id="53"/>
    </w:p>
    <w:p>
      <w:pPr>
        <w:pStyle w:val="5"/>
        <w:ind w:firstLine="640"/>
        <w:jc w:val="left"/>
        <w:rPr>
          <w:sz w:val="32"/>
          <w:lang w:eastAsia="zh-CN"/>
        </w:rPr>
      </w:pPr>
      <w:r>
        <w:rPr>
          <w:rFonts w:hint="eastAsia"/>
          <w:sz w:val="32"/>
          <w:lang w:eastAsia="zh-CN"/>
        </w:rPr>
        <w:t>汽车</w:t>
      </w:r>
      <w:r>
        <w:rPr>
          <w:rFonts w:hint="eastAsia"/>
          <w:sz w:val="32"/>
          <w:lang w:val="en-US" w:eastAsia="zh-CN"/>
        </w:rPr>
        <w:t>技术</w:t>
      </w:r>
      <w:r>
        <w:rPr>
          <w:sz w:val="32"/>
          <w:lang w:eastAsia="zh-CN"/>
        </w:rPr>
        <w:t>项目所有设备设施、工具量具等均由赛场提供，无需选手自带。不允许选手自带设备设施、工具量具入场。</w:t>
      </w:r>
      <w:r>
        <w:rPr>
          <w:rFonts w:hint="eastAsia"/>
          <w:sz w:val="32"/>
          <w:lang w:eastAsia="zh-CN"/>
        </w:rPr>
        <w:t>汽车</w:t>
      </w:r>
      <w:r>
        <w:rPr>
          <w:rFonts w:hint="eastAsia"/>
          <w:sz w:val="32"/>
          <w:lang w:val="en-US" w:eastAsia="zh-CN"/>
        </w:rPr>
        <w:t>技术</w:t>
      </w:r>
      <w:r>
        <w:rPr>
          <w:sz w:val="32"/>
          <w:lang w:eastAsia="zh-CN"/>
        </w:rPr>
        <w:t>项目赛场提供主要设施设备工具清单</w:t>
      </w:r>
      <w:r>
        <w:rPr>
          <w:rFonts w:hint="eastAsia"/>
          <w:sz w:val="32"/>
          <w:lang w:eastAsia="zh-CN"/>
        </w:rPr>
        <w:t>见下</w:t>
      </w:r>
      <w:r>
        <w:rPr>
          <w:sz w:val="32"/>
          <w:lang w:eastAsia="zh-CN"/>
        </w:rPr>
        <w:t>表</w:t>
      </w:r>
      <w:r>
        <w:rPr>
          <w:rFonts w:hint="eastAsia"/>
          <w:sz w:val="32"/>
          <w:lang w:eastAsia="zh-CN"/>
        </w:rPr>
        <w:t>。</w:t>
      </w:r>
    </w:p>
    <w:tbl>
      <w:tblPr>
        <w:tblStyle w:val="15"/>
        <w:tblW w:w="4996" w:type="pct"/>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108" w:type="dxa"/>
          <w:bottom w:w="0" w:type="dxa"/>
          <w:right w:w="108" w:type="dxa"/>
        </w:tblCellMar>
      </w:tblPr>
      <w:tblGrid>
        <w:gridCol w:w="986"/>
        <w:gridCol w:w="3883"/>
        <w:gridCol w:w="1629"/>
        <w:gridCol w:w="2787"/>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blHeader/>
        </w:trPr>
        <w:tc>
          <w:tcPr>
            <w:tcW w:w="531"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b/>
                <w:bCs/>
                <w:sz w:val="24"/>
                <w:szCs w:val="24"/>
              </w:rPr>
              <w:t>序号</w:t>
            </w:r>
          </w:p>
        </w:tc>
        <w:tc>
          <w:tcPr>
            <w:tcW w:w="2091"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b/>
                <w:bCs/>
                <w:sz w:val="24"/>
                <w:szCs w:val="24"/>
              </w:rPr>
              <w:t>名称</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b/>
                <w:bCs/>
                <w:sz w:val="24"/>
                <w:szCs w:val="24"/>
              </w:rPr>
              <w:t>数量</w:t>
            </w:r>
          </w:p>
        </w:tc>
        <w:tc>
          <w:tcPr>
            <w:tcW w:w="1500" w:type="pct"/>
            <w:tcBorders>
              <w:tl2br w:val="nil"/>
              <w:tr2bl w:val="nil"/>
            </w:tcBorders>
            <w:vAlign w:val="center"/>
          </w:tcPr>
          <w:p>
            <w:pPr>
              <w:pStyle w:val="19"/>
              <w:spacing w:before="130"/>
              <w:ind w:right="1" w:firstLine="0" w:firstLineChars="0"/>
              <w:jc w:val="center"/>
              <w:rPr>
                <w:rFonts w:ascii="宋体" w:hAnsi="宋体" w:eastAsia="宋体" w:cs="宋体"/>
                <w:sz w:val="24"/>
                <w:szCs w:val="24"/>
                <w:lang w:eastAsia="zh-CN"/>
              </w:rPr>
            </w:pPr>
            <w:r>
              <w:rPr>
                <w:rFonts w:hint="eastAsia" w:ascii="宋体" w:hAnsi="宋体" w:eastAsia="宋体" w:cs="宋体"/>
                <w:b/>
                <w:bCs/>
                <w:sz w:val="24"/>
                <w:szCs w:val="24"/>
              </w:rPr>
              <w:t>技术规格</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000" w:type="pct"/>
            <w:gridSpan w:val="4"/>
            <w:tcBorders>
              <w:tl2br w:val="nil"/>
              <w:tr2bl w:val="nil"/>
            </w:tcBorders>
            <w:vAlign w:val="center"/>
          </w:tcPr>
          <w:p>
            <w:pPr>
              <w:pStyle w:val="5"/>
              <w:ind w:firstLine="482"/>
              <w:jc w:val="left"/>
              <w:rPr>
                <w:rFonts w:ascii="宋体" w:hAnsi="宋体" w:eastAsia="宋体" w:cs="宋体"/>
                <w:szCs w:val="24"/>
                <w:lang w:eastAsia="zh-CN"/>
              </w:rPr>
            </w:pPr>
            <w:r>
              <w:rPr>
                <w:rFonts w:hint="eastAsia" w:ascii="宋体" w:hAnsi="宋体" w:eastAsia="宋体" w:cs="宋体"/>
                <w:b/>
                <w:bCs/>
                <w:szCs w:val="24"/>
              </w:rPr>
              <w:t>一、通用设备、工具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spacing w:before="140"/>
              <w:ind w:right="2" w:firstLine="0" w:firstLineChars="0"/>
              <w:jc w:val="center"/>
              <w:rPr>
                <w:rFonts w:ascii="宋体" w:hAnsi="宋体" w:eastAsia="宋体" w:cs="宋体"/>
                <w:sz w:val="24"/>
                <w:szCs w:val="24"/>
                <w:lang w:eastAsia="zh-CN"/>
              </w:rPr>
            </w:pPr>
            <w:r>
              <w:rPr>
                <w:rFonts w:hint="eastAsia" w:ascii="宋体" w:hAnsi="宋体" w:eastAsia="宋体" w:cs="宋体"/>
                <w:sz w:val="24"/>
                <w:szCs w:val="24"/>
              </w:rPr>
              <w:t>1</w:t>
            </w:r>
          </w:p>
        </w:tc>
        <w:tc>
          <w:tcPr>
            <w:tcW w:w="2091"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翼子板罩布、前罩布</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1套/工位</w:t>
            </w:r>
          </w:p>
        </w:tc>
        <w:tc>
          <w:tcPr>
            <w:tcW w:w="1500"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通用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spacing w:before="141"/>
              <w:ind w:right="2" w:firstLine="0" w:firstLineChars="0"/>
              <w:jc w:val="center"/>
              <w:rPr>
                <w:rFonts w:ascii="宋体" w:hAnsi="宋体" w:eastAsia="宋体" w:cs="宋体"/>
                <w:sz w:val="24"/>
                <w:szCs w:val="24"/>
                <w:lang w:eastAsia="zh-CN"/>
              </w:rPr>
            </w:pPr>
            <w:r>
              <w:rPr>
                <w:rFonts w:hint="eastAsia" w:ascii="宋体" w:hAnsi="宋体" w:eastAsia="宋体" w:cs="宋体"/>
                <w:sz w:val="24"/>
                <w:szCs w:val="24"/>
              </w:rPr>
              <w:t>2</w:t>
            </w:r>
          </w:p>
        </w:tc>
        <w:tc>
          <w:tcPr>
            <w:tcW w:w="2091"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pacing w:val="-4"/>
                <w:sz w:val="24"/>
                <w:szCs w:val="24"/>
                <w:lang w:eastAsia="zh-CN"/>
              </w:rPr>
              <w:t>座垫套布、方向盘套、脚垫</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1套/工位</w:t>
            </w:r>
          </w:p>
        </w:tc>
        <w:tc>
          <w:tcPr>
            <w:tcW w:w="1500" w:type="pct"/>
            <w:tcBorders>
              <w:tl2br w:val="nil"/>
              <w:tr2bl w:val="nil"/>
            </w:tcBorders>
            <w:vAlign w:val="center"/>
          </w:tcPr>
          <w:p>
            <w:pPr>
              <w:pStyle w:val="19"/>
              <w:spacing w:before="85"/>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通用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spacing w:before="138"/>
              <w:ind w:right="2" w:firstLine="0" w:firstLineChars="0"/>
              <w:jc w:val="center"/>
              <w:rPr>
                <w:rFonts w:ascii="宋体" w:hAnsi="宋体" w:eastAsia="宋体" w:cs="宋体"/>
                <w:sz w:val="24"/>
                <w:szCs w:val="24"/>
                <w:lang w:eastAsia="zh-CN"/>
              </w:rPr>
            </w:pPr>
            <w:r>
              <w:rPr>
                <w:rFonts w:hint="eastAsia" w:ascii="宋体" w:hAnsi="宋体" w:eastAsia="宋体" w:cs="宋体"/>
                <w:sz w:val="24"/>
                <w:szCs w:val="24"/>
              </w:rPr>
              <w:t>3</w:t>
            </w:r>
          </w:p>
        </w:tc>
        <w:tc>
          <w:tcPr>
            <w:tcW w:w="2091" w:type="pct"/>
            <w:tcBorders>
              <w:tl2br w:val="nil"/>
              <w:tr2bl w:val="nil"/>
            </w:tcBorders>
            <w:vAlign w:val="center"/>
          </w:tcPr>
          <w:p>
            <w:pPr>
              <w:pStyle w:val="19"/>
              <w:spacing w:before="130"/>
              <w:ind w:right="1" w:firstLine="0" w:firstLineChars="0"/>
              <w:jc w:val="center"/>
              <w:rPr>
                <w:rFonts w:ascii="宋体" w:hAnsi="宋体" w:eastAsia="宋体" w:cs="宋体"/>
                <w:sz w:val="24"/>
                <w:szCs w:val="24"/>
                <w:lang w:eastAsia="zh-CN"/>
              </w:rPr>
            </w:pPr>
            <w:r>
              <w:rPr>
                <w:rFonts w:hint="eastAsia" w:ascii="宋体" w:hAnsi="宋体" w:eastAsia="宋体" w:cs="宋体"/>
                <w:sz w:val="24"/>
                <w:szCs w:val="24"/>
              </w:rPr>
              <w:t>车轮挡块</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1套/工位</w:t>
            </w:r>
          </w:p>
        </w:tc>
        <w:tc>
          <w:tcPr>
            <w:tcW w:w="1500" w:type="pct"/>
            <w:tcBorders>
              <w:tl2br w:val="nil"/>
              <w:tr2bl w:val="nil"/>
            </w:tcBorders>
            <w:vAlign w:val="center"/>
          </w:tcPr>
          <w:p>
            <w:pPr>
              <w:pStyle w:val="19"/>
              <w:spacing w:before="82"/>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通用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spacing w:before="138"/>
              <w:ind w:right="2" w:firstLine="0" w:firstLineChars="0"/>
              <w:jc w:val="center"/>
              <w:rPr>
                <w:rFonts w:ascii="宋体" w:hAnsi="宋体" w:eastAsia="宋体" w:cs="宋体"/>
                <w:sz w:val="24"/>
                <w:szCs w:val="24"/>
                <w:lang w:eastAsia="zh-CN"/>
              </w:rPr>
            </w:pPr>
            <w:r>
              <w:rPr>
                <w:rFonts w:hint="eastAsia" w:ascii="宋体" w:hAnsi="宋体" w:eastAsia="宋体" w:cs="宋体"/>
                <w:sz w:val="24"/>
                <w:szCs w:val="24"/>
              </w:rPr>
              <w:t>4</w:t>
            </w:r>
          </w:p>
        </w:tc>
        <w:tc>
          <w:tcPr>
            <w:tcW w:w="2091" w:type="pct"/>
            <w:tcBorders>
              <w:tl2br w:val="nil"/>
              <w:tr2bl w:val="nil"/>
            </w:tcBorders>
            <w:vAlign w:val="center"/>
          </w:tcPr>
          <w:p>
            <w:pPr>
              <w:pStyle w:val="19"/>
              <w:spacing w:before="130"/>
              <w:ind w:right="1" w:firstLine="0" w:firstLineChars="0"/>
              <w:jc w:val="center"/>
              <w:rPr>
                <w:rFonts w:ascii="宋体" w:hAnsi="宋体" w:eastAsia="宋体" w:cs="宋体"/>
                <w:sz w:val="24"/>
                <w:szCs w:val="24"/>
                <w:lang w:eastAsia="zh-CN"/>
              </w:rPr>
            </w:pPr>
            <w:r>
              <w:rPr>
                <w:rFonts w:hint="eastAsia" w:ascii="宋体" w:hAnsi="宋体" w:eastAsia="宋体" w:cs="宋体"/>
                <w:sz w:val="24"/>
                <w:szCs w:val="24"/>
              </w:rPr>
              <w:t>工作台</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1个/工位</w:t>
            </w:r>
          </w:p>
        </w:tc>
        <w:tc>
          <w:tcPr>
            <w:tcW w:w="1500" w:type="pct"/>
            <w:tcBorders>
              <w:tl2br w:val="nil"/>
              <w:tr2bl w:val="nil"/>
            </w:tcBorders>
            <w:vAlign w:val="center"/>
          </w:tcPr>
          <w:p>
            <w:pPr>
              <w:pStyle w:val="19"/>
              <w:spacing w:before="82"/>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通用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spacing w:before="140"/>
              <w:ind w:right="2" w:firstLine="0" w:firstLineChars="0"/>
              <w:jc w:val="center"/>
              <w:rPr>
                <w:rFonts w:ascii="宋体" w:hAnsi="宋体" w:eastAsia="宋体" w:cs="宋体"/>
                <w:sz w:val="24"/>
                <w:szCs w:val="24"/>
                <w:lang w:eastAsia="zh-CN"/>
              </w:rPr>
            </w:pPr>
            <w:r>
              <w:rPr>
                <w:rFonts w:hint="eastAsia" w:ascii="宋体" w:hAnsi="宋体" w:eastAsia="宋体" w:cs="宋体"/>
                <w:sz w:val="24"/>
                <w:szCs w:val="24"/>
              </w:rPr>
              <w:t>5</w:t>
            </w:r>
          </w:p>
        </w:tc>
        <w:tc>
          <w:tcPr>
            <w:tcW w:w="2091"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集中式供给装置</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1套/工位</w:t>
            </w:r>
          </w:p>
        </w:tc>
        <w:tc>
          <w:tcPr>
            <w:tcW w:w="1500" w:type="pct"/>
            <w:tcBorders>
              <w:tl2br w:val="nil"/>
              <w:tr2bl w:val="nil"/>
            </w:tcBorders>
            <w:vAlign w:val="center"/>
          </w:tcPr>
          <w:p>
            <w:pPr>
              <w:pStyle w:val="19"/>
              <w:spacing w:before="84"/>
              <w:ind w:firstLine="0" w:firstLineChars="0"/>
              <w:jc w:val="center"/>
              <w:rPr>
                <w:rFonts w:ascii="宋体" w:hAnsi="宋体" w:eastAsia="宋体" w:cs="宋体"/>
                <w:sz w:val="24"/>
                <w:szCs w:val="24"/>
                <w:lang w:eastAsia="zh-CN"/>
              </w:rPr>
            </w:pPr>
            <w:r>
              <w:rPr>
                <w:rFonts w:hint="eastAsia" w:ascii="宋体" w:hAnsi="宋体" w:eastAsia="宋体" w:cs="宋体"/>
                <w:sz w:val="24"/>
                <w:szCs w:val="24"/>
                <w:lang w:eastAsia="zh-CN"/>
              </w:rPr>
              <w:t>包含电源、灯光、气源</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spacing w:before="140"/>
              <w:ind w:right="2" w:firstLine="0" w:firstLineChars="0"/>
              <w:jc w:val="center"/>
              <w:rPr>
                <w:rFonts w:ascii="宋体" w:hAnsi="宋体" w:eastAsia="宋体" w:cs="宋体"/>
                <w:sz w:val="24"/>
                <w:szCs w:val="24"/>
                <w:lang w:eastAsia="zh-CN"/>
              </w:rPr>
            </w:pPr>
            <w:r>
              <w:rPr>
                <w:rFonts w:hint="eastAsia" w:ascii="宋体" w:hAnsi="宋体" w:eastAsia="宋体" w:cs="宋体"/>
                <w:sz w:val="24"/>
                <w:szCs w:val="24"/>
              </w:rPr>
              <w:t>6</w:t>
            </w:r>
          </w:p>
        </w:tc>
        <w:tc>
          <w:tcPr>
            <w:tcW w:w="2091"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尾气抽排系统</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1套/工位</w:t>
            </w:r>
          </w:p>
        </w:tc>
        <w:tc>
          <w:tcPr>
            <w:tcW w:w="1500" w:type="pct"/>
            <w:tcBorders>
              <w:tl2br w:val="nil"/>
              <w:tr2bl w:val="nil"/>
            </w:tcBorders>
            <w:vAlign w:val="center"/>
          </w:tcPr>
          <w:p>
            <w:pPr>
              <w:pStyle w:val="19"/>
              <w:spacing w:before="84"/>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通用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spacing w:before="140"/>
              <w:ind w:right="2" w:firstLine="0" w:firstLineChars="0"/>
              <w:jc w:val="center"/>
              <w:rPr>
                <w:rFonts w:ascii="宋体" w:hAnsi="宋体" w:eastAsia="宋体" w:cs="宋体"/>
                <w:sz w:val="24"/>
                <w:szCs w:val="24"/>
                <w:lang w:eastAsia="zh-CN"/>
              </w:rPr>
            </w:pPr>
            <w:r>
              <w:rPr>
                <w:rFonts w:hint="eastAsia" w:ascii="宋体" w:hAnsi="宋体" w:eastAsia="宋体" w:cs="宋体"/>
                <w:sz w:val="24"/>
                <w:szCs w:val="24"/>
              </w:rPr>
              <w:t>7</w:t>
            </w:r>
          </w:p>
        </w:tc>
        <w:tc>
          <w:tcPr>
            <w:tcW w:w="2091" w:type="pct"/>
            <w:tcBorders>
              <w:tl2br w:val="nil"/>
              <w:tr2bl w:val="nil"/>
            </w:tcBorders>
            <w:vAlign w:val="center"/>
          </w:tcPr>
          <w:p>
            <w:pPr>
              <w:pStyle w:val="19"/>
              <w:spacing w:before="130"/>
              <w:ind w:right="1" w:firstLine="0" w:firstLineChars="0"/>
              <w:jc w:val="center"/>
              <w:rPr>
                <w:rFonts w:ascii="宋体" w:hAnsi="宋体" w:eastAsia="宋体" w:cs="宋体"/>
                <w:sz w:val="24"/>
                <w:szCs w:val="24"/>
                <w:lang w:eastAsia="zh-CN"/>
              </w:rPr>
            </w:pPr>
            <w:r>
              <w:rPr>
                <w:rFonts w:hint="eastAsia" w:ascii="宋体" w:hAnsi="宋体" w:eastAsia="宋体" w:cs="宋体"/>
                <w:sz w:val="24"/>
                <w:szCs w:val="24"/>
              </w:rPr>
              <w:t>充电机</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1套/工位</w:t>
            </w:r>
          </w:p>
        </w:tc>
        <w:tc>
          <w:tcPr>
            <w:tcW w:w="1500" w:type="pct"/>
            <w:tcBorders>
              <w:tl2br w:val="nil"/>
              <w:tr2bl w:val="nil"/>
            </w:tcBorders>
            <w:vAlign w:val="center"/>
          </w:tcPr>
          <w:p>
            <w:pPr>
              <w:pStyle w:val="19"/>
              <w:spacing w:before="84"/>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通用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spacing w:before="140"/>
              <w:ind w:right="2" w:firstLine="0" w:firstLineChars="0"/>
              <w:jc w:val="center"/>
              <w:rPr>
                <w:rFonts w:ascii="宋体" w:hAnsi="宋体" w:eastAsia="宋体" w:cs="宋体"/>
                <w:sz w:val="24"/>
                <w:szCs w:val="24"/>
                <w:lang w:eastAsia="zh-CN"/>
              </w:rPr>
            </w:pPr>
            <w:r>
              <w:rPr>
                <w:rFonts w:hint="eastAsia" w:ascii="宋体" w:hAnsi="宋体" w:eastAsia="宋体" w:cs="宋体"/>
                <w:sz w:val="24"/>
                <w:szCs w:val="24"/>
              </w:rPr>
              <w:t>8</w:t>
            </w:r>
          </w:p>
        </w:tc>
        <w:tc>
          <w:tcPr>
            <w:tcW w:w="2091"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备用蓄电池</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1套/工位</w:t>
            </w:r>
          </w:p>
        </w:tc>
        <w:tc>
          <w:tcPr>
            <w:tcW w:w="1500" w:type="pct"/>
            <w:tcBorders>
              <w:tl2br w:val="nil"/>
              <w:tr2bl w:val="nil"/>
            </w:tcBorders>
            <w:vAlign w:val="center"/>
          </w:tcPr>
          <w:p>
            <w:pPr>
              <w:pStyle w:val="19"/>
              <w:spacing w:before="84"/>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通用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spacing w:before="138"/>
              <w:ind w:right="2" w:firstLine="0" w:firstLineChars="0"/>
              <w:jc w:val="center"/>
              <w:rPr>
                <w:rFonts w:ascii="宋体" w:hAnsi="宋体" w:eastAsia="宋体" w:cs="宋体"/>
                <w:sz w:val="24"/>
                <w:szCs w:val="24"/>
                <w:lang w:eastAsia="zh-CN"/>
              </w:rPr>
            </w:pPr>
            <w:r>
              <w:rPr>
                <w:rFonts w:hint="eastAsia" w:ascii="宋体" w:hAnsi="宋体" w:eastAsia="宋体" w:cs="宋体"/>
                <w:sz w:val="24"/>
                <w:szCs w:val="24"/>
              </w:rPr>
              <w:t>9</w:t>
            </w:r>
          </w:p>
        </w:tc>
        <w:tc>
          <w:tcPr>
            <w:tcW w:w="2091"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启动连接线</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1套/工位</w:t>
            </w:r>
          </w:p>
        </w:tc>
        <w:tc>
          <w:tcPr>
            <w:tcW w:w="1500" w:type="pct"/>
            <w:tcBorders>
              <w:tl2br w:val="nil"/>
              <w:tr2bl w:val="nil"/>
            </w:tcBorders>
            <w:vAlign w:val="center"/>
          </w:tcPr>
          <w:p>
            <w:pPr>
              <w:pStyle w:val="19"/>
              <w:spacing w:before="82"/>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通用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spacing w:before="138"/>
              <w:ind w:right="2" w:firstLine="0" w:firstLineChars="0"/>
              <w:jc w:val="center"/>
              <w:rPr>
                <w:rFonts w:ascii="宋体" w:hAnsi="宋体" w:eastAsia="宋体" w:cs="宋体"/>
                <w:sz w:val="24"/>
                <w:szCs w:val="24"/>
                <w:lang w:eastAsia="zh-CN"/>
              </w:rPr>
            </w:pPr>
            <w:r>
              <w:rPr>
                <w:rFonts w:hint="eastAsia" w:ascii="宋体" w:hAnsi="宋体" w:eastAsia="宋体" w:cs="宋体"/>
                <w:sz w:val="24"/>
                <w:szCs w:val="24"/>
              </w:rPr>
              <w:t>10</w:t>
            </w:r>
          </w:p>
        </w:tc>
        <w:tc>
          <w:tcPr>
            <w:tcW w:w="2091" w:type="pct"/>
            <w:tcBorders>
              <w:tl2br w:val="nil"/>
              <w:tr2bl w:val="nil"/>
            </w:tcBorders>
            <w:vAlign w:val="center"/>
          </w:tcPr>
          <w:p>
            <w:pPr>
              <w:pStyle w:val="19"/>
              <w:spacing w:before="130"/>
              <w:ind w:right="1" w:firstLine="0" w:firstLineChars="0"/>
              <w:jc w:val="center"/>
              <w:rPr>
                <w:rFonts w:ascii="宋体" w:hAnsi="宋体" w:eastAsia="宋体" w:cs="宋体"/>
                <w:sz w:val="24"/>
                <w:szCs w:val="24"/>
                <w:lang w:eastAsia="zh-CN"/>
              </w:rPr>
            </w:pPr>
            <w:r>
              <w:rPr>
                <w:rFonts w:hint="eastAsia" w:ascii="宋体" w:hAnsi="宋体" w:eastAsia="宋体" w:cs="宋体"/>
                <w:sz w:val="24"/>
                <w:szCs w:val="24"/>
              </w:rPr>
              <w:t>零件盒</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1套/工位</w:t>
            </w:r>
          </w:p>
        </w:tc>
        <w:tc>
          <w:tcPr>
            <w:tcW w:w="1500" w:type="pct"/>
            <w:tcBorders>
              <w:tl2br w:val="nil"/>
              <w:tr2bl w:val="nil"/>
            </w:tcBorders>
            <w:vAlign w:val="center"/>
          </w:tcPr>
          <w:p>
            <w:pPr>
              <w:pStyle w:val="19"/>
              <w:spacing w:before="82"/>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通用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spacing w:before="140"/>
              <w:ind w:right="12" w:firstLine="0" w:firstLineChars="0"/>
              <w:jc w:val="center"/>
              <w:rPr>
                <w:rFonts w:ascii="宋体" w:hAnsi="宋体" w:eastAsia="宋体" w:cs="宋体"/>
                <w:sz w:val="24"/>
                <w:szCs w:val="24"/>
                <w:lang w:eastAsia="zh-CN"/>
              </w:rPr>
            </w:pPr>
            <w:r>
              <w:rPr>
                <w:rFonts w:hint="eastAsia" w:ascii="宋体" w:hAnsi="宋体" w:eastAsia="宋体" w:cs="宋体"/>
                <w:spacing w:val="-10"/>
                <w:sz w:val="24"/>
                <w:szCs w:val="24"/>
              </w:rPr>
              <w:t>11</w:t>
            </w:r>
          </w:p>
        </w:tc>
        <w:tc>
          <w:tcPr>
            <w:tcW w:w="2091" w:type="pct"/>
            <w:tcBorders>
              <w:tl2br w:val="nil"/>
              <w:tr2bl w:val="nil"/>
            </w:tcBorders>
            <w:vAlign w:val="center"/>
          </w:tcPr>
          <w:p>
            <w:pPr>
              <w:pStyle w:val="19"/>
              <w:spacing w:before="130"/>
              <w:ind w:right="1" w:firstLine="0" w:firstLineChars="0"/>
              <w:jc w:val="center"/>
              <w:rPr>
                <w:rFonts w:ascii="宋体" w:hAnsi="宋体" w:eastAsia="宋体" w:cs="宋体"/>
                <w:sz w:val="24"/>
                <w:szCs w:val="24"/>
                <w:lang w:eastAsia="zh-CN"/>
              </w:rPr>
            </w:pPr>
            <w:r>
              <w:rPr>
                <w:rFonts w:hint="eastAsia" w:ascii="宋体" w:hAnsi="宋体" w:eastAsia="宋体" w:cs="宋体"/>
                <w:sz w:val="24"/>
                <w:szCs w:val="24"/>
              </w:rPr>
              <w:t>手电筒</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1个/工位</w:t>
            </w:r>
          </w:p>
        </w:tc>
        <w:tc>
          <w:tcPr>
            <w:tcW w:w="1500" w:type="pct"/>
            <w:tcBorders>
              <w:tl2br w:val="nil"/>
              <w:tr2bl w:val="nil"/>
            </w:tcBorders>
            <w:vAlign w:val="center"/>
          </w:tcPr>
          <w:p>
            <w:pPr>
              <w:pStyle w:val="19"/>
              <w:spacing w:before="84"/>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通用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spacing w:before="140"/>
              <w:ind w:right="2" w:firstLine="0" w:firstLineChars="0"/>
              <w:jc w:val="center"/>
              <w:rPr>
                <w:rFonts w:ascii="宋体" w:hAnsi="宋体" w:eastAsia="宋体" w:cs="宋体"/>
                <w:sz w:val="24"/>
                <w:szCs w:val="24"/>
                <w:lang w:eastAsia="zh-CN"/>
              </w:rPr>
            </w:pPr>
            <w:r>
              <w:rPr>
                <w:rFonts w:hint="eastAsia" w:ascii="宋体" w:hAnsi="宋体" w:eastAsia="宋体" w:cs="宋体"/>
                <w:sz w:val="24"/>
                <w:szCs w:val="24"/>
              </w:rPr>
              <w:t>12</w:t>
            </w:r>
          </w:p>
        </w:tc>
        <w:tc>
          <w:tcPr>
            <w:tcW w:w="2091"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柔性磁力吸取器</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1个/工位</w:t>
            </w:r>
          </w:p>
        </w:tc>
        <w:tc>
          <w:tcPr>
            <w:tcW w:w="1500" w:type="pct"/>
            <w:tcBorders>
              <w:tl2br w:val="nil"/>
              <w:tr2bl w:val="nil"/>
            </w:tcBorders>
            <w:vAlign w:val="center"/>
          </w:tcPr>
          <w:p>
            <w:pPr>
              <w:pStyle w:val="19"/>
              <w:spacing w:before="84"/>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通用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spacing w:before="140"/>
              <w:ind w:right="2" w:firstLine="0" w:firstLineChars="0"/>
              <w:jc w:val="center"/>
              <w:rPr>
                <w:rFonts w:ascii="宋体" w:hAnsi="宋体" w:eastAsia="宋体" w:cs="宋体"/>
                <w:sz w:val="24"/>
                <w:szCs w:val="24"/>
                <w:lang w:eastAsia="zh-CN"/>
              </w:rPr>
            </w:pPr>
            <w:r>
              <w:rPr>
                <w:rFonts w:hint="eastAsia" w:ascii="宋体" w:hAnsi="宋体" w:eastAsia="宋体" w:cs="宋体"/>
                <w:sz w:val="24"/>
                <w:szCs w:val="24"/>
              </w:rPr>
              <w:t>13</w:t>
            </w:r>
          </w:p>
        </w:tc>
        <w:tc>
          <w:tcPr>
            <w:tcW w:w="2091"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环保分类垃圾桶</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1套/工位</w:t>
            </w:r>
          </w:p>
        </w:tc>
        <w:tc>
          <w:tcPr>
            <w:tcW w:w="1500" w:type="pct"/>
            <w:tcBorders>
              <w:tl2br w:val="nil"/>
              <w:tr2bl w:val="nil"/>
            </w:tcBorders>
            <w:vAlign w:val="center"/>
          </w:tcPr>
          <w:p>
            <w:pPr>
              <w:pStyle w:val="19"/>
              <w:spacing w:before="84"/>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通用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spacing w:before="140"/>
              <w:ind w:right="2" w:firstLine="0" w:firstLineChars="0"/>
              <w:jc w:val="center"/>
              <w:rPr>
                <w:rFonts w:ascii="宋体" w:hAnsi="宋体" w:eastAsia="宋体" w:cs="宋体"/>
                <w:sz w:val="24"/>
                <w:szCs w:val="24"/>
                <w:lang w:eastAsia="zh-CN"/>
              </w:rPr>
            </w:pPr>
            <w:r>
              <w:rPr>
                <w:rFonts w:hint="eastAsia" w:ascii="宋体" w:hAnsi="宋体" w:eastAsia="宋体" w:cs="宋体"/>
                <w:sz w:val="24"/>
                <w:szCs w:val="24"/>
              </w:rPr>
              <w:t>14</w:t>
            </w:r>
          </w:p>
        </w:tc>
        <w:tc>
          <w:tcPr>
            <w:tcW w:w="2091" w:type="pct"/>
            <w:tcBorders>
              <w:tl2br w:val="nil"/>
              <w:tr2bl w:val="nil"/>
            </w:tcBorders>
            <w:vAlign w:val="center"/>
          </w:tcPr>
          <w:p>
            <w:pPr>
              <w:pStyle w:val="19"/>
              <w:spacing w:before="130"/>
              <w:ind w:right="1" w:firstLine="0" w:firstLineChars="0"/>
              <w:jc w:val="center"/>
              <w:rPr>
                <w:rFonts w:ascii="宋体" w:hAnsi="宋体" w:eastAsia="宋体" w:cs="宋体"/>
                <w:sz w:val="24"/>
                <w:szCs w:val="24"/>
                <w:lang w:eastAsia="zh-CN"/>
              </w:rPr>
            </w:pPr>
            <w:r>
              <w:rPr>
                <w:rFonts w:hint="eastAsia" w:ascii="宋体" w:hAnsi="宋体" w:eastAsia="宋体" w:cs="宋体"/>
                <w:sz w:val="24"/>
                <w:szCs w:val="24"/>
              </w:rPr>
              <w:t>灭火器</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1个/工位</w:t>
            </w:r>
          </w:p>
        </w:tc>
        <w:tc>
          <w:tcPr>
            <w:tcW w:w="1500" w:type="pct"/>
            <w:tcBorders>
              <w:tl2br w:val="nil"/>
              <w:tr2bl w:val="nil"/>
            </w:tcBorders>
            <w:vAlign w:val="center"/>
          </w:tcPr>
          <w:p>
            <w:pPr>
              <w:pStyle w:val="19"/>
              <w:spacing w:before="84"/>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通用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spacing w:before="139"/>
              <w:ind w:right="2" w:firstLine="0" w:firstLineChars="0"/>
              <w:jc w:val="center"/>
              <w:rPr>
                <w:rFonts w:ascii="宋体" w:hAnsi="宋体" w:eastAsia="宋体" w:cs="宋体"/>
                <w:sz w:val="24"/>
                <w:szCs w:val="24"/>
                <w:lang w:eastAsia="zh-CN"/>
              </w:rPr>
            </w:pPr>
            <w:r>
              <w:rPr>
                <w:rFonts w:hint="eastAsia" w:ascii="宋体" w:hAnsi="宋体" w:eastAsia="宋体" w:cs="宋体"/>
                <w:sz w:val="24"/>
                <w:szCs w:val="24"/>
              </w:rPr>
              <w:t>15</w:t>
            </w:r>
          </w:p>
        </w:tc>
        <w:tc>
          <w:tcPr>
            <w:tcW w:w="2091"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护目镜/手套</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1套/工位</w:t>
            </w:r>
          </w:p>
        </w:tc>
        <w:tc>
          <w:tcPr>
            <w:tcW w:w="1500" w:type="pct"/>
            <w:tcBorders>
              <w:tl2br w:val="nil"/>
              <w:tr2bl w:val="nil"/>
            </w:tcBorders>
            <w:vAlign w:val="center"/>
          </w:tcPr>
          <w:p>
            <w:pPr>
              <w:pStyle w:val="19"/>
              <w:spacing w:before="82"/>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通用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spacing w:before="138"/>
              <w:ind w:right="2" w:firstLine="0" w:firstLineChars="0"/>
              <w:jc w:val="center"/>
              <w:rPr>
                <w:rFonts w:ascii="宋体" w:hAnsi="宋体" w:eastAsia="宋体" w:cs="宋体"/>
                <w:sz w:val="24"/>
                <w:szCs w:val="24"/>
                <w:lang w:eastAsia="zh-CN"/>
              </w:rPr>
            </w:pPr>
            <w:r>
              <w:rPr>
                <w:rFonts w:hint="eastAsia" w:ascii="宋体" w:hAnsi="宋体" w:eastAsia="宋体" w:cs="宋体"/>
                <w:sz w:val="24"/>
                <w:szCs w:val="24"/>
              </w:rPr>
              <w:t>16</w:t>
            </w:r>
          </w:p>
        </w:tc>
        <w:tc>
          <w:tcPr>
            <w:tcW w:w="2091"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毛巾/吸油纸</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2张/工位</w:t>
            </w:r>
          </w:p>
        </w:tc>
        <w:tc>
          <w:tcPr>
            <w:tcW w:w="1500" w:type="pct"/>
            <w:tcBorders>
              <w:tl2br w:val="nil"/>
              <w:tr2bl w:val="nil"/>
            </w:tcBorders>
            <w:vAlign w:val="center"/>
          </w:tcPr>
          <w:p>
            <w:pPr>
              <w:pStyle w:val="19"/>
              <w:spacing w:before="82"/>
              <w:ind w:firstLine="0" w:firstLineChars="0"/>
              <w:jc w:val="center"/>
              <w:rPr>
                <w:rFonts w:ascii="宋体" w:hAnsi="宋体" w:eastAsia="宋体" w:cs="宋体"/>
                <w:sz w:val="24"/>
                <w:szCs w:val="24"/>
                <w:lang w:eastAsia="zh-CN"/>
              </w:rPr>
            </w:pPr>
            <w:r>
              <w:rPr>
                <w:rFonts w:hint="eastAsia" w:ascii="宋体" w:hAnsi="宋体" w:eastAsia="宋体" w:cs="宋体"/>
                <w:sz w:val="24"/>
                <w:szCs w:val="24"/>
              </w:rPr>
              <w:t>通用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000" w:type="pct"/>
            <w:gridSpan w:val="4"/>
            <w:tcBorders>
              <w:tl2br w:val="nil"/>
              <w:tr2bl w:val="nil"/>
            </w:tcBorders>
            <w:vAlign w:val="center"/>
          </w:tcPr>
          <w:p>
            <w:pPr>
              <w:pStyle w:val="19"/>
              <w:spacing w:before="82"/>
              <w:ind w:firstLine="482"/>
              <w:jc w:val="lef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二、模块A—发动机管理系统故障诊断与维修</w:t>
            </w:r>
          </w:p>
          <w:p>
            <w:pPr>
              <w:pStyle w:val="19"/>
              <w:spacing w:before="82"/>
              <w:ind w:firstLine="964" w:firstLineChars="400"/>
              <w:jc w:val="left"/>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模块</w:t>
            </w:r>
            <w:r>
              <w:rPr>
                <w:rFonts w:hint="eastAsia" w:ascii="宋体" w:hAnsi="宋体" w:eastAsia="宋体" w:cs="宋体"/>
                <w:b/>
                <w:bCs/>
                <w:sz w:val="24"/>
                <w:szCs w:val="24"/>
                <w:lang w:val="en-US" w:eastAsia="zh-CN"/>
              </w:rPr>
              <w:t>B</w:t>
            </w:r>
            <w:r>
              <w:rPr>
                <w:rFonts w:hint="eastAsia" w:ascii="宋体" w:hAnsi="宋体" w:eastAsia="宋体" w:cs="宋体"/>
                <w:b/>
                <w:bCs/>
                <w:sz w:val="24"/>
                <w:szCs w:val="24"/>
                <w:lang w:eastAsia="zh-CN"/>
              </w:rPr>
              <w:t>—车身电气系统故障诊断与维修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spacing w:before="140"/>
              <w:ind w:right="2" w:firstLine="0" w:firstLineChars="0"/>
              <w:jc w:val="center"/>
              <w:rPr>
                <w:rFonts w:ascii="宋体" w:hAnsi="宋体" w:eastAsia="宋体" w:cs="宋体"/>
                <w:sz w:val="24"/>
                <w:szCs w:val="24"/>
              </w:rPr>
            </w:pPr>
            <w:r>
              <w:rPr>
                <w:rFonts w:hint="eastAsia" w:ascii="宋体" w:hAnsi="宋体" w:eastAsia="宋体" w:cs="宋体"/>
                <w:sz w:val="24"/>
                <w:szCs w:val="24"/>
              </w:rPr>
              <w:t>1</w:t>
            </w:r>
          </w:p>
        </w:tc>
        <w:tc>
          <w:tcPr>
            <w:tcW w:w="2091" w:type="pct"/>
            <w:tcBorders>
              <w:tl2br w:val="nil"/>
              <w:tr2bl w:val="nil"/>
            </w:tcBorders>
            <w:vAlign w:val="center"/>
          </w:tcPr>
          <w:p>
            <w:pPr>
              <w:pStyle w:val="19"/>
              <w:spacing w:before="130"/>
              <w:ind w:right="1" w:firstLine="0" w:firstLineChars="0"/>
              <w:jc w:val="center"/>
              <w:rPr>
                <w:rFonts w:ascii="宋体" w:hAnsi="宋体" w:eastAsia="宋体" w:cs="宋体"/>
                <w:sz w:val="24"/>
                <w:szCs w:val="24"/>
              </w:rPr>
            </w:pPr>
            <w:r>
              <w:rPr>
                <w:rFonts w:hint="eastAsia" w:ascii="宋体" w:hAnsi="宋体" w:eastAsia="宋体" w:cs="宋体"/>
                <w:sz w:val="24"/>
                <w:szCs w:val="24"/>
              </w:rPr>
              <w:t>整车</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rPr>
            </w:pPr>
            <w:r>
              <w:rPr>
                <w:rFonts w:hint="eastAsia" w:ascii="宋体" w:hAnsi="宋体" w:eastAsia="宋体" w:cs="宋体"/>
                <w:sz w:val="24"/>
                <w:szCs w:val="24"/>
              </w:rPr>
              <w:t>1台/工位</w:t>
            </w:r>
          </w:p>
        </w:tc>
        <w:tc>
          <w:tcPr>
            <w:tcW w:w="1500"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z w:val="24"/>
                <w:szCs w:val="24"/>
                <w:lang w:eastAsia="zh-CN"/>
              </w:rPr>
              <w:t>201</w:t>
            </w:r>
            <w:r>
              <w:rPr>
                <w:rFonts w:hint="eastAsia" w:ascii="宋体" w:hAnsi="宋体" w:eastAsia="宋体" w:cs="宋体"/>
                <w:sz w:val="24"/>
                <w:szCs w:val="24"/>
                <w:lang w:val="en-US" w:eastAsia="zh-CN"/>
              </w:rPr>
              <w:t>6</w:t>
            </w:r>
            <w:r>
              <w:rPr>
                <w:rFonts w:hint="eastAsia" w:ascii="宋体" w:hAnsi="宋体" w:eastAsia="宋体" w:cs="宋体"/>
                <w:sz w:val="24"/>
                <w:szCs w:val="24"/>
                <w:lang w:eastAsia="zh-CN"/>
              </w:rPr>
              <w:t>款1</w:t>
            </w:r>
            <w:r>
              <w:rPr>
                <w:rFonts w:hint="eastAsia" w:ascii="宋体" w:hAnsi="宋体" w:eastAsia="宋体" w:cs="宋体"/>
                <w:sz w:val="24"/>
                <w:szCs w:val="24"/>
                <w:lang w:val="en-US" w:eastAsia="zh-CN"/>
              </w:rPr>
              <w:t>.6L</w:t>
            </w:r>
            <w:r>
              <w:rPr>
                <w:rFonts w:hint="eastAsia" w:ascii="宋体" w:hAnsi="宋体" w:eastAsia="宋体" w:cs="宋体"/>
                <w:sz w:val="24"/>
                <w:szCs w:val="24"/>
                <w:lang w:eastAsia="zh-CN"/>
              </w:rPr>
              <w:t>手动</w:t>
            </w:r>
            <w:r>
              <w:rPr>
                <w:rFonts w:hint="eastAsia" w:ascii="宋体" w:hAnsi="宋体" w:eastAsia="宋体" w:cs="宋体"/>
                <w:sz w:val="24"/>
                <w:szCs w:val="24"/>
                <w:lang w:val="en-US" w:eastAsia="zh-CN"/>
              </w:rPr>
              <w:t>风尚型</w:t>
            </w:r>
            <w:r>
              <w:rPr>
                <w:rFonts w:hint="eastAsia" w:ascii="宋体" w:hAnsi="宋体" w:eastAsia="宋体" w:cs="宋体"/>
                <w:sz w:val="24"/>
                <w:szCs w:val="24"/>
                <w:lang w:eastAsia="zh-CN"/>
              </w:rPr>
              <w:t>朗逸</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spacing w:before="138"/>
              <w:ind w:right="2" w:firstLine="0" w:firstLineChars="0"/>
              <w:jc w:val="center"/>
              <w:rPr>
                <w:rFonts w:ascii="宋体" w:hAnsi="宋体" w:eastAsia="宋体" w:cs="宋体"/>
                <w:sz w:val="24"/>
                <w:szCs w:val="24"/>
              </w:rPr>
            </w:pPr>
            <w:r>
              <w:rPr>
                <w:rFonts w:ascii="宋体" w:hAnsi="宋体" w:eastAsia="宋体" w:cs="宋体"/>
                <w:sz w:val="24"/>
                <w:szCs w:val="24"/>
              </w:rPr>
              <w:t>2</w:t>
            </w:r>
          </w:p>
        </w:tc>
        <w:tc>
          <w:tcPr>
            <w:tcW w:w="2091" w:type="pct"/>
            <w:tcBorders>
              <w:tl2br w:val="nil"/>
              <w:tr2bl w:val="nil"/>
            </w:tcBorders>
            <w:vAlign w:val="center"/>
          </w:tcPr>
          <w:p>
            <w:pPr>
              <w:pStyle w:val="19"/>
              <w:spacing w:before="130"/>
              <w:ind w:firstLine="0" w:firstLineChars="0"/>
              <w:jc w:val="center"/>
              <w:rPr>
                <w:rFonts w:ascii="宋体" w:hAnsi="宋体" w:eastAsia="宋体" w:cs="宋体"/>
                <w:sz w:val="24"/>
                <w:szCs w:val="24"/>
              </w:rPr>
            </w:pPr>
            <w:r>
              <w:rPr>
                <w:rFonts w:hint="eastAsia" w:ascii="宋体" w:hAnsi="宋体" w:eastAsia="宋体" w:cs="宋体"/>
                <w:sz w:val="24"/>
                <w:szCs w:val="24"/>
              </w:rPr>
              <w:t>汽车故障电脑诊断仪</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rPr>
            </w:pPr>
            <w:r>
              <w:rPr>
                <w:rFonts w:hint="eastAsia" w:ascii="宋体" w:hAnsi="宋体" w:eastAsia="宋体" w:cs="宋体"/>
                <w:sz w:val="24"/>
                <w:szCs w:val="24"/>
              </w:rPr>
              <w:t>1个/工位</w:t>
            </w:r>
          </w:p>
        </w:tc>
        <w:tc>
          <w:tcPr>
            <w:tcW w:w="1500"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spacing w:before="140"/>
              <w:ind w:right="2" w:firstLine="0" w:firstLineChars="0"/>
              <w:jc w:val="center"/>
              <w:rPr>
                <w:rFonts w:ascii="宋体" w:hAnsi="宋体" w:eastAsia="宋体" w:cs="宋体"/>
                <w:sz w:val="24"/>
                <w:szCs w:val="24"/>
              </w:rPr>
            </w:pPr>
            <w:r>
              <w:rPr>
                <w:rFonts w:ascii="宋体" w:hAnsi="宋体" w:eastAsia="宋体" w:cs="宋体"/>
                <w:sz w:val="24"/>
                <w:szCs w:val="24"/>
              </w:rPr>
              <w:t>3</w:t>
            </w:r>
          </w:p>
        </w:tc>
        <w:tc>
          <w:tcPr>
            <w:tcW w:w="2091" w:type="pct"/>
            <w:tcBorders>
              <w:tl2br w:val="nil"/>
              <w:tr2bl w:val="nil"/>
            </w:tcBorders>
            <w:vAlign w:val="center"/>
          </w:tcPr>
          <w:p>
            <w:pPr>
              <w:pStyle w:val="19"/>
              <w:spacing w:before="130"/>
              <w:ind w:firstLine="0" w:firstLineChars="0"/>
              <w:jc w:val="center"/>
              <w:rPr>
                <w:rFonts w:ascii="宋体" w:hAnsi="宋体" w:eastAsia="宋体" w:cs="宋体"/>
                <w:sz w:val="24"/>
                <w:szCs w:val="24"/>
                <w:lang w:eastAsia="zh-CN"/>
              </w:rPr>
            </w:pPr>
            <w:r>
              <w:rPr>
                <w:rFonts w:hint="eastAsia" w:ascii="宋体" w:hAnsi="宋体" w:eastAsia="宋体" w:cs="宋体"/>
                <w:sz w:val="24"/>
                <w:szCs w:val="24"/>
                <w:lang w:eastAsia="zh-CN"/>
              </w:rPr>
              <w:t>维修资料（便携计算机）</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rPr>
            </w:pPr>
            <w:r>
              <w:rPr>
                <w:rFonts w:hint="eastAsia" w:ascii="宋体" w:hAnsi="宋体" w:eastAsia="宋体" w:cs="宋体"/>
                <w:sz w:val="24"/>
                <w:szCs w:val="24"/>
              </w:rPr>
              <w:t>1套/工位</w:t>
            </w:r>
          </w:p>
        </w:tc>
        <w:tc>
          <w:tcPr>
            <w:tcW w:w="1500" w:type="pct"/>
            <w:tcBorders>
              <w:tl2br w:val="nil"/>
              <w:tr2bl w:val="nil"/>
            </w:tcBorders>
            <w:vAlign w:val="center"/>
          </w:tcPr>
          <w:p>
            <w:pPr>
              <w:pStyle w:val="19"/>
              <w:spacing w:before="130"/>
              <w:ind w:firstLine="0" w:firstLineChars="0"/>
              <w:jc w:val="center"/>
              <w:rPr>
                <w:rFonts w:ascii="宋体" w:hAnsi="宋体" w:eastAsia="宋体" w:cs="宋体"/>
                <w:sz w:val="24"/>
                <w:szCs w:val="24"/>
              </w:rPr>
            </w:pPr>
            <w:r>
              <w:rPr>
                <w:rFonts w:hint="eastAsia" w:ascii="宋体" w:hAnsi="宋体" w:eastAsia="宋体" w:cs="宋体"/>
                <w:sz w:val="24"/>
                <w:szCs w:val="24"/>
                <w:lang w:eastAsia="zh-CN"/>
              </w:rPr>
              <w:t>建议用</w:t>
            </w:r>
            <w:r>
              <w:rPr>
                <w:rFonts w:hint="eastAsia" w:ascii="宋体" w:hAnsi="宋体" w:eastAsia="宋体" w:cs="宋体"/>
                <w:sz w:val="24"/>
                <w:szCs w:val="24"/>
              </w:rPr>
              <w:t>电子版资料</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spacing w:before="140"/>
              <w:ind w:right="2" w:firstLine="0" w:firstLineChars="0"/>
              <w:jc w:val="center"/>
              <w:rPr>
                <w:rFonts w:ascii="宋体" w:hAnsi="宋体" w:eastAsia="宋体" w:cs="宋体"/>
                <w:sz w:val="24"/>
                <w:szCs w:val="24"/>
              </w:rPr>
            </w:pPr>
            <w:r>
              <w:rPr>
                <w:rFonts w:ascii="宋体" w:hAnsi="宋体" w:eastAsia="宋体" w:cs="宋体"/>
                <w:sz w:val="24"/>
                <w:szCs w:val="24"/>
              </w:rPr>
              <w:t>4</w:t>
            </w:r>
          </w:p>
        </w:tc>
        <w:tc>
          <w:tcPr>
            <w:tcW w:w="2091" w:type="pct"/>
            <w:tcBorders>
              <w:tl2br w:val="nil"/>
              <w:tr2bl w:val="nil"/>
            </w:tcBorders>
            <w:vAlign w:val="center"/>
          </w:tcPr>
          <w:p>
            <w:pPr>
              <w:pStyle w:val="19"/>
              <w:spacing w:before="130"/>
              <w:ind w:right="1" w:firstLine="0" w:firstLineChars="0"/>
              <w:jc w:val="center"/>
              <w:rPr>
                <w:rFonts w:ascii="宋体" w:hAnsi="宋体" w:eastAsia="宋体" w:cs="宋体"/>
                <w:sz w:val="24"/>
                <w:szCs w:val="24"/>
              </w:rPr>
            </w:pPr>
            <w:r>
              <w:rPr>
                <w:rFonts w:hint="eastAsia" w:ascii="宋体" w:hAnsi="宋体" w:eastAsia="宋体" w:cs="宋体"/>
                <w:sz w:val="24"/>
                <w:szCs w:val="24"/>
              </w:rPr>
              <w:t>工具车</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rPr>
            </w:pPr>
            <w:r>
              <w:rPr>
                <w:rFonts w:hint="eastAsia" w:ascii="宋体" w:hAnsi="宋体" w:eastAsia="宋体" w:cs="宋体"/>
                <w:sz w:val="24"/>
                <w:szCs w:val="24"/>
              </w:rPr>
              <w:t>1套/工位</w:t>
            </w:r>
          </w:p>
        </w:tc>
        <w:tc>
          <w:tcPr>
            <w:tcW w:w="1500" w:type="pct"/>
            <w:tcBorders>
              <w:tl2br w:val="nil"/>
              <w:tr2bl w:val="nil"/>
            </w:tcBorders>
            <w:vAlign w:val="center"/>
          </w:tcPr>
          <w:p>
            <w:pPr>
              <w:pStyle w:val="19"/>
              <w:spacing w:before="130"/>
              <w:ind w:firstLine="0" w:firstLineChars="0"/>
              <w:jc w:val="center"/>
              <w:rPr>
                <w:rFonts w:ascii="宋体" w:hAnsi="宋体" w:eastAsia="宋体" w:cs="宋体"/>
                <w:sz w:val="24"/>
                <w:szCs w:val="24"/>
              </w:rPr>
            </w:pPr>
            <w:r>
              <w:rPr>
                <w:rFonts w:hint="eastAsia" w:ascii="宋体" w:hAnsi="宋体" w:eastAsia="宋体" w:cs="宋体"/>
                <w:sz w:val="24"/>
                <w:szCs w:val="24"/>
              </w:rPr>
              <w:t>通用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spacing w:before="140"/>
              <w:ind w:right="2" w:firstLine="0" w:firstLineChars="0"/>
              <w:jc w:val="center"/>
              <w:rPr>
                <w:rFonts w:ascii="宋体" w:hAnsi="宋体" w:eastAsia="宋体" w:cs="宋体"/>
                <w:sz w:val="24"/>
                <w:szCs w:val="24"/>
              </w:rPr>
            </w:pPr>
            <w:r>
              <w:rPr>
                <w:rFonts w:ascii="宋体" w:hAnsi="宋体" w:eastAsia="宋体" w:cs="宋体"/>
                <w:sz w:val="24"/>
                <w:szCs w:val="24"/>
              </w:rPr>
              <w:t>5</w:t>
            </w:r>
          </w:p>
        </w:tc>
        <w:tc>
          <w:tcPr>
            <w:tcW w:w="2091" w:type="pct"/>
            <w:tcBorders>
              <w:tl2br w:val="nil"/>
              <w:tr2bl w:val="nil"/>
            </w:tcBorders>
            <w:vAlign w:val="center"/>
          </w:tcPr>
          <w:p>
            <w:pPr>
              <w:pStyle w:val="19"/>
              <w:spacing w:before="130"/>
              <w:ind w:right="1" w:firstLine="0" w:firstLineChars="0"/>
              <w:jc w:val="center"/>
              <w:rPr>
                <w:rFonts w:ascii="宋体" w:hAnsi="宋体" w:eastAsia="宋体" w:cs="宋体"/>
                <w:sz w:val="24"/>
                <w:szCs w:val="24"/>
              </w:rPr>
            </w:pPr>
            <w:r>
              <w:rPr>
                <w:rFonts w:hint="eastAsia" w:ascii="宋体" w:hAnsi="宋体" w:eastAsia="宋体" w:cs="宋体"/>
                <w:sz w:val="24"/>
                <w:szCs w:val="24"/>
              </w:rPr>
              <w:t>零件车</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rPr>
            </w:pPr>
            <w:r>
              <w:rPr>
                <w:rFonts w:hint="eastAsia" w:ascii="宋体" w:hAnsi="宋体" w:eastAsia="宋体" w:cs="宋体"/>
                <w:sz w:val="24"/>
                <w:szCs w:val="24"/>
              </w:rPr>
              <w:t>1套/工位</w:t>
            </w:r>
          </w:p>
        </w:tc>
        <w:tc>
          <w:tcPr>
            <w:tcW w:w="1500" w:type="pct"/>
            <w:tcBorders>
              <w:tl2br w:val="nil"/>
              <w:tr2bl w:val="nil"/>
            </w:tcBorders>
            <w:vAlign w:val="center"/>
          </w:tcPr>
          <w:p>
            <w:pPr>
              <w:pStyle w:val="19"/>
              <w:spacing w:before="130"/>
              <w:ind w:firstLine="0" w:firstLineChars="0"/>
              <w:jc w:val="center"/>
              <w:rPr>
                <w:rFonts w:ascii="宋体" w:hAnsi="宋体" w:eastAsia="宋体" w:cs="宋体"/>
                <w:sz w:val="24"/>
                <w:szCs w:val="24"/>
              </w:rPr>
            </w:pPr>
            <w:r>
              <w:rPr>
                <w:rFonts w:hint="eastAsia" w:ascii="宋体" w:hAnsi="宋体" w:eastAsia="宋体" w:cs="宋体"/>
                <w:sz w:val="24"/>
                <w:szCs w:val="24"/>
              </w:rPr>
              <w:t>通用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spacing w:before="140"/>
              <w:ind w:right="2" w:firstLine="0" w:firstLineChars="0"/>
              <w:jc w:val="center"/>
              <w:rPr>
                <w:rFonts w:ascii="宋体" w:hAnsi="宋体" w:eastAsia="宋体" w:cs="宋体"/>
                <w:sz w:val="24"/>
                <w:szCs w:val="24"/>
              </w:rPr>
            </w:pPr>
            <w:r>
              <w:rPr>
                <w:rFonts w:ascii="宋体" w:hAnsi="宋体" w:eastAsia="宋体" w:cs="宋体"/>
                <w:sz w:val="24"/>
                <w:szCs w:val="24"/>
              </w:rPr>
              <w:t>6</w:t>
            </w:r>
          </w:p>
        </w:tc>
        <w:tc>
          <w:tcPr>
            <w:tcW w:w="2091" w:type="pct"/>
            <w:tcBorders>
              <w:tl2br w:val="nil"/>
              <w:tr2bl w:val="nil"/>
            </w:tcBorders>
            <w:vAlign w:val="center"/>
          </w:tcPr>
          <w:p>
            <w:pPr>
              <w:pStyle w:val="19"/>
              <w:spacing w:before="130"/>
              <w:ind w:firstLine="0" w:firstLineChars="0"/>
              <w:jc w:val="center"/>
              <w:rPr>
                <w:rFonts w:ascii="宋体" w:hAnsi="宋体" w:eastAsia="宋体" w:cs="宋体"/>
                <w:sz w:val="24"/>
                <w:szCs w:val="24"/>
              </w:rPr>
            </w:pPr>
            <w:r>
              <w:rPr>
                <w:rFonts w:hint="eastAsia" w:ascii="宋体" w:hAnsi="宋体" w:eastAsia="宋体" w:cs="宋体"/>
                <w:sz w:val="24"/>
                <w:szCs w:val="24"/>
              </w:rPr>
              <w:t>专用拆装工具</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rPr>
            </w:pPr>
            <w:r>
              <w:rPr>
                <w:rFonts w:hint="eastAsia" w:ascii="宋体" w:hAnsi="宋体" w:eastAsia="宋体" w:cs="宋体"/>
                <w:sz w:val="24"/>
                <w:szCs w:val="24"/>
              </w:rPr>
              <w:t>1套/工位</w:t>
            </w:r>
          </w:p>
        </w:tc>
        <w:tc>
          <w:tcPr>
            <w:tcW w:w="1500" w:type="pct"/>
            <w:tcBorders>
              <w:tl2br w:val="nil"/>
              <w:tr2bl w:val="nil"/>
            </w:tcBorders>
            <w:vAlign w:val="center"/>
          </w:tcPr>
          <w:p>
            <w:pPr>
              <w:pStyle w:val="19"/>
              <w:spacing w:before="84"/>
              <w:ind w:firstLine="0" w:firstLineChars="0"/>
              <w:jc w:val="center"/>
              <w:rPr>
                <w:rFonts w:ascii="宋体" w:hAnsi="宋体" w:eastAsia="宋体" w:cs="宋体"/>
                <w:sz w:val="24"/>
                <w:szCs w:val="24"/>
              </w:rPr>
            </w:pPr>
            <w:r>
              <w:rPr>
                <w:rFonts w:hint="eastAsia" w:ascii="宋体" w:hAnsi="宋体" w:eastAsia="宋体" w:cs="宋体"/>
                <w:sz w:val="24"/>
                <w:szCs w:val="24"/>
              </w:rPr>
              <w:t>具体型号参考车型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spacing w:before="138"/>
              <w:ind w:right="2" w:firstLine="0" w:firstLineChars="0"/>
              <w:jc w:val="center"/>
              <w:rPr>
                <w:rFonts w:ascii="宋体" w:hAnsi="宋体" w:eastAsia="宋体" w:cs="宋体"/>
                <w:sz w:val="24"/>
                <w:szCs w:val="24"/>
              </w:rPr>
            </w:pPr>
            <w:r>
              <w:rPr>
                <w:rFonts w:ascii="宋体" w:hAnsi="宋体" w:eastAsia="宋体" w:cs="宋体"/>
                <w:sz w:val="24"/>
                <w:szCs w:val="24"/>
              </w:rPr>
              <w:t>7</w:t>
            </w:r>
          </w:p>
        </w:tc>
        <w:tc>
          <w:tcPr>
            <w:tcW w:w="2091" w:type="pct"/>
            <w:tcBorders>
              <w:tl2br w:val="nil"/>
              <w:tr2bl w:val="nil"/>
            </w:tcBorders>
            <w:vAlign w:val="center"/>
          </w:tcPr>
          <w:p>
            <w:pPr>
              <w:pStyle w:val="19"/>
              <w:spacing w:before="130"/>
              <w:ind w:right="1" w:firstLine="0" w:firstLineChars="0"/>
              <w:jc w:val="center"/>
              <w:rPr>
                <w:rFonts w:ascii="宋体" w:hAnsi="宋体" w:eastAsia="宋体" w:cs="宋体"/>
                <w:sz w:val="24"/>
                <w:szCs w:val="24"/>
              </w:rPr>
            </w:pPr>
            <w:r>
              <w:rPr>
                <w:rFonts w:hint="eastAsia" w:ascii="宋体" w:hAnsi="宋体" w:eastAsia="宋体" w:cs="宋体"/>
                <w:sz w:val="24"/>
                <w:szCs w:val="24"/>
              </w:rPr>
              <w:t>万用表</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rPr>
            </w:pPr>
            <w:r>
              <w:rPr>
                <w:rFonts w:hint="eastAsia" w:ascii="宋体" w:hAnsi="宋体" w:eastAsia="宋体" w:cs="宋体"/>
                <w:sz w:val="24"/>
                <w:szCs w:val="24"/>
              </w:rPr>
              <w:t>1个/工位</w:t>
            </w:r>
          </w:p>
        </w:tc>
        <w:tc>
          <w:tcPr>
            <w:tcW w:w="1500" w:type="pct"/>
            <w:tcBorders>
              <w:tl2br w:val="nil"/>
              <w:tr2bl w:val="nil"/>
            </w:tcBorders>
            <w:vAlign w:val="center"/>
          </w:tcPr>
          <w:p>
            <w:pPr>
              <w:pStyle w:val="19"/>
              <w:spacing w:before="82"/>
              <w:ind w:firstLine="0" w:firstLineChars="0"/>
              <w:jc w:val="center"/>
              <w:rPr>
                <w:rFonts w:ascii="宋体" w:hAnsi="宋体" w:eastAsia="宋体" w:cs="宋体"/>
                <w:sz w:val="24"/>
                <w:szCs w:val="24"/>
              </w:rPr>
            </w:pPr>
            <w:r>
              <w:rPr>
                <w:rFonts w:hint="eastAsia" w:ascii="宋体" w:hAnsi="宋体" w:eastAsia="宋体" w:cs="宋体"/>
                <w:sz w:val="24"/>
                <w:szCs w:val="24"/>
              </w:rPr>
              <w:t>数字式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spacing w:before="139"/>
              <w:ind w:right="2" w:firstLine="0" w:firstLineChars="0"/>
              <w:jc w:val="center"/>
              <w:rPr>
                <w:rFonts w:ascii="宋体" w:hAnsi="宋体" w:eastAsia="宋体" w:cs="宋体"/>
                <w:sz w:val="24"/>
                <w:szCs w:val="24"/>
              </w:rPr>
            </w:pPr>
            <w:r>
              <w:rPr>
                <w:rFonts w:ascii="宋体" w:hAnsi="宋体" w:eastAsia="宋体" w:cs="宋体"/>
                <w:sz w:val="24"/>
                <w:szCs w:val="24"/>
              </w:rPr>
              <w:t>8</w:t>
            </w:r>
          </w:p>
        </w:tc>
        <w:tc>
          <w:tcPr>
            <w:tcW w:w="2091" w:type="pct"/>
            <w:tcBorders>
              <w:tl2br w:val="nil"/>
              <w:tr2bl w:val="nil"/>
            </w:tcBorders>
            <w:vAlign w:val="center"/>
          </w:tcPr>
          <w:p>
            <w:pPr>
              <w:pStyle w:val="19"/>
              <w:spacing w:before="130"/>
              <w:ind w:firstLine="0" w:firstLineChars="0"/>
              <w:jc w:val="center"/>
              <w:rPr>
                <w:rFonts w:ascii="宋体" w:hAnsi="宋体" w:eastAsia="宋体" w:cs="宋体"/>
                <w:sz w:val="24"/>
                <w:szCs w:val="24"/>
              </w:rPr>
            </w:pPr>
            <w:r>
              <w:rPr>
                <w:rFonts w:hint="eastAsia" w:ascii="宋体" w:hAnsi="宋体" w:eastAsia="宋体" w:cs="宋体"/>
                <w:sz w:val="24"/>
                <w:szCs w:val="24"/>
              </w:rPr>
              <w:t>线束维修工具</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rPr>
            </w:pPr>
            <w:r>
              <w:rPr>
                <w:rFonts w:hint="eastAsia" w:ascii="宋体" w:hAnsi="宋体" w:eastAsia="宋体" w:cs="宋体"/>
                <w:sz w:val="24"/>
                <w:szCs w:val="24"/>
              </w:rPr>
              <w:t>1套/工位</w:t>
            </w:r>
          </w:p>
        </w:tc>
        <w:tc>
          <w:tcPr>
            <w:tcW w:w="1500" w:type="pct"/>
            <w:tcBorders>
              <w:tl2br w:val="nil"/>
              <w:tr2bl w:val="nil"/>
            </w:tcBorders>
            <w:vAlign w:val="center"/>
          </w:tcPr>
          <w:p>
            <w:pPr>
              <w:pStyle w:val="19"/>
              <w:spacing w:before="82"/>
              <w:ind w:firstLine="0" w:firstLineChars="0"/>
              <w:jc w:val="center"/>
              <w:rPr>
                <w:rFonts w:ascii="宋体" w:hAnsi="宋体" w:eastAsia="宋体" w:cs="宋体"/>
                <w:sz w:val="24"/>
                <w:szCs w:val="24"/>
              </w:rPr>
            </w:pPr>
            <w:r>
              <w:rPr>
                <w:rFonts w:hint="eastAsia" w:ascii="宋体" w:hAnsi="宋体" w:eastAsia="宋体" w:cs="宋体"/>
                <w:sz w:val="24"/>
                <w:szCs w:val="24"/>
              </w:rPr>
              <w:t>通用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spacing w:before="140"/>
              <w:ind w:right="2" w:firstLine="0" w:firstLineChars="0"/>
              <w:jc w:val="center"/>
              <w:rPr>
                <w:rFonts w:ascii="宋体" w:hAnsi="宋体" w:eastAsia="宋体" w:cs="宋体"/>
                <w:sz w:val="24"/>
                <w:szCs w:val="24"/>
              </w:rPr>
            </w:pPr>
            <w:r>
              <w:rPr>
                <w:rFonts w:ascii="宋体" w:hAnsi="宋体" w:eastAsia="宋体" w:cs="宋体"/>
                <w:sz w:val="24"/>
                <w:szCs w:val="24"/>
              </w:rPr>
              <w:t>9</w:t>
            </w:r>
          </w:p>
        </w:tc>
        <w:tc>
          <w:tcPr>
            <w:tcW w:w="2091" w:type="pct"/>
            <w:tcBorders>
              <w:tl2br w:val="nil"/>
              <w:tr2bl w:val="nil"/>
            </w:tcBorders>
            <w:vAlign w:val="center"/>
          </w:tcPr>
          <w:p>
            <w:pPr>
              <w:pStyle w:val="19"/>
              <w:spacing w:before="130"/>
              <w:ind w:firstLine="0" w:firstLineChars="0"/>
              <w:jc w:val="center"/>
              <w:rPr>
                <w:rFonts w:ascii="宋体" w:hAnsi="宋体" w:eastAsia="宋体" w:cs="宋体"/>
                <w:sz w:val="24"/>
                <w:szCs w:val="24"/>
              </w:rPr>
            </w:pPr>
            <w:r>
              <w:rPr>
                <w:rFonts w:hint="eastAsia" w:ascii="宋体" w:hAnsi="宋体" w:eastAsia="宋体" w:cs="宋体"/>
                <w:sz w:val="24"/>
                <w:szCs w:val="24"/>
              </w:rPr>
              <w:t>T型测量连接线线</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rPr>
            </w:pPr>
            <w:r>
              <w:rPr>
                <w:rFonts w:hint="eastAsia" w:ascii="宋体" w:hAnsi="宋体" w:eastAsia="宋体" w:cs="宋体"/>
                <w:sz w:val="24"/>
                <w:szCs w:val="24"/>
              </w:rPr>
              <w:t>1套/工位</w:t>
            </w:r>
          </w:p>
        </w:tc>
        <w:tc>
          <w:tcPr>
            <w:tcW w:w="1500" w:type="pct"/>
            <w:tcBorders>
              <w:tl2br w:val="nil"/>
              <w:tr2bl w:val="nil"/>
            </w:tcBorders>
            <w:vAlign w:val="center"/>
          </w:tcPr>
          <w:p>
            <w:pPr>
              <w:pStyle w:val="19"/>
              <w:spacing w:before="84"/>
              <w:ind w:firstLine="0" w:firstLineChars="0"/>
              <w:jc w:val="center"/>
              <w:rPr>
                <w:rFonts w:ascii="宋体" w:hAnsi="宋体" w:eastAsia="宋体" w:cs="宋体"/>
                <w:sz w:val="24"/>
                <w:szCs w:val="24"/>
              </w:rPr>
            </w:pPr>
            <w:r>
              <w:rPr>
                <w:rFonts w:hint="eastAsia" w:ascii="宋体" w:hAnsi="宋体" w:eastAsia="宋体" w:cs="宋体"/>
                <w:sz w:val="24"/>
                <w:szCs w:val="24"/>
              </w:rPr>
              <w:t>通用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spacing w:before="140"/>
              <w:ind w:right="12" w:firstLine="0" w:firstLineChars="0"/>
              <w:jc w:val="center"/>
              <w:rPr>
                <w:rFonts w:ascii="宋体" w:hAnsi="宋体" w:eastAsia="宋体" w:cs="宋体"/>
                <w:sz w:val="24"/>
                <w:szCs w:val="24"/>
              </w:rPr>
            </w:pPr>
            <w:r>
              <w:rPr>
                <w:rFonts w:ascii="宋体" w:hAnsi="宋体" w:eastAsia="宋体" w:cs="宋体"/>
                <w:spacing w:val="-10"/>
                <w:sz w:val="24"/>
                <w:szCs w:val="24"/>
              </w:rPr>
              <w:t>10</w:t>
            </w:r>
          </w:p>
        </w:tc>
        <w:tc>
          <w:tcPr>
            <w:tcW w:w="2091" w:type="pct"/>
            <w:tcBorders>
              <w:tl2br w:val="nil"/>
              <w:tr2bl w:val="nil"/>
            </w:tcBorders>
            <w:vAlign w:val="center"/>
          </w:tcPr>
          <w:p>
            <w:pPr>
              <w:pStyle w:val="19"/>
              <w:spacing w:before="130"/>
              <w:ind w:firstLine="0" w:firstLineChars="0"/>
              <w:jc w:val="center"/>
              <w:rPr>
                <w:rFonts w:ascii="宋体" w:hAnsi="宋体" w:eastAsia="宋体" w:cs="宋体"/>
                <w:sz w:val="24"/>
                <w:szCs w:val="24"/>
              </w:rPr>
            </w:pPr>
            <w:r>
              <w:rPr>
                <w:rFonts w:hint="eastAsia" w:ascii="宋体" w:hAnsi="宋体" w:eastAsia="宋体" w:cs="宋体"/>
                <w:sz w:val="24"/>
                <w:szCs w:val="24"/>
              </w:rPr>
              <w:t>LED试灯</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rPr>
            </w:pPr>
            <w:r>
              <w:rPr>
                <w:rFonts w:hint="eastAsia" w:ascii="宋体" w:hAnsi="宋体" w:eastAsia="宋体" w:cs="宋体"/>
                <w:sz w:val="24"/>
                <w:szCs w:val="24"/>
              </w:rPr>
              <w:t>1套/工位</w:t>
            </w:r>
          </w:p>
        </w:tc>
        <w:tc>
          <w:tcPr>
            <w:tcW w:w="1500" w:type="pct"/>
            <w:tcBorders>
              <w:tl2br w:val="nil"/>
              <w:tr2bl w:val="nil"/>
            </w:tcBorders>
            <w:vAlign w:val="center"/>
          </w:tcPr>
          <w:p>
            <w:pPr>
              <w:pStyle w:val="19"/>
              <w:spacing w:before="84"/>
              <w:ind w:firstLine="0" w:firstLineChars="0"/>
              <w:jc w:val="center"/>
              <w:rPr>
                <w:rFonts w:ascii="宋体" w:hAnsi="宋体" w:eastAsia="宋体" w:cs="宋体"/>
                <w:sz w:val="24"/>
                <w:szCs w:val="24"/>
              </w:rPr>
            </w:pPr>
            <w:r>
              <w:rPr>
                <w:rFonts w:hint="eastAsia" w:ascii="宋体" w:hAnsi="宋体" w:eastAsia="宋体" w:cs="宋体"/>
                <w:sz w:val="24"/>
                <w:szCs w:val="24"/>
              </w:rPr>
              <w:t>通用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spacing w:before="140"/>
              <w:ind w:right="2" w:firstLine="0" w:firstLineChars="0"/>
              <w:jc w:val="center"/>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1</w:t>
            </w:r>
          </w:p>
        </w:tc>
        <w:tc>
          <w:tcPr>
            <w:tcW w:w="2091" w:type="pct"/>
            <w:tcBorders>
              <w:tl2br w:val="nil"/>
              <w:tr2bl w:val="nil"/>
            </w:tcBorders>
            <w:vAlign w:val="center"/>
          </w:tcPr>
          <w:p>
            <w:pPr>
              <w:pStyle w:val="19"/>
              <w:spacing w:before="130"/>
              <w:ind w:right="1" w:firstLine="0" w:firstLineChars="0"/>
              <w:jc w:val="center"/>
              <w:rPr>
                <w:rFonts w:ascii="宋体" w:hAnsi="宋体" w:eastAsia="宋体" w:cs="宋体"/>
                <w:sz w:val="24"/>
                <w:szCs w:val="24"/>
              </w:rPr>
            </w:pPr>
            <w:r>
              <w:rPr>
                <w:rFonts w:hint="eastAsia" w:ascii="宋体" w:hAnsi="宋体" w:eastAsia="宋体" w:cs="宋体"/>
                <w:sz w:val="24"/>
                <w:szCs w:val="24"/>
              </w:rPr>
              <w:t>扭力扳手</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rPr>
            </w:pPr>
            <w:r>
              <w:rPr>
                <w:rFonts w:hint="eastAsia" w:ascii="宋体" w:hAnsi="宋体" w:eastAsia="宋体" w:cs="宋体"/>
                <w:sz w:val="24"/>
                <w:szCs w:val="24"/>
              </w:rPr>
              <w:t>1套/工位</w:t>
            </w:r>
          </w:p>
        </w:tc>
        <w:tc>
          <w:tcPr>
            <w:tcW w:w="1500" w:type="pct"/>
            <w:tcBorders>
              <w:tl2br w:val="nil"/>
              <w:tr2bl w:val="nil"/>
            </w:tcBorders>
            <w:vAlign w:val="center"/>
          </w:tcPr>
          <w:p>
            <w:pPr>
              <w:pStyle w:val="19"/>
              <w:spacing w:before="130"/>
              <w:ind w:firstLine="0" w:firstLineChars="0"/>
              <w:jc w:val="center"/>
              <w:rPr>
                <w:rFonts w:ascii="宋体" w:hAnsi="宋体" w:eastAsia="宋体" w:cs="宋体"/>
                <w:sz w:val="24"/>
                <w:szCs w:val="24"/>
              </w:rPr>
            </w:pPr>
            <w:r>
              <w:rPr>
                <w:rFonts w:hint="eastAsia" w:ascii="宋体" w:hAnsi="宋体" w:eastAsia="宋体" w:cs="宋体"/>
                <w:sz w:val="24"/>
                <w:szCs w:val="24"/>
              </w:rPr>
              <w:t>数字式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ind w:right="2" w:firstLine="0" w:firstLineChars="0"/>
              <w:jc w:val="center"/>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2</w:t>
            </w:r>
          </w:p>
        </w:tc>
        <w:tc>
          <w:tcPr>
            <w:tcW w:w="2091" w:type="pct"/>
            <w:tcBorders>
              <w:tl2br w:val="nil"/>
              <w:tr2bl w:val="nil"/>
            </w:tcBorders>
            <w:vAlign w:val="center"/>
          </w:tcPr>
          <w:p>
            <w:pPr>
              <w:pStyle w:val="19"/>
              <w:spacing w:before="130"/>
              <w:ind w:right="11" w:firstLine="0" w:firstLineChars="0"/>
              <w:jc w:val="center"/>
              <w:rPr>
                <w:rFonts w:ascii="宋体" w:hAnsi="宋体" w:eastAsia="宋体" w:cs="宋体"/>
                <w:sz w:val="24"/>
                <w:szCs w:val="24"/>
                <w:lang w:eastAsia="zh-CN"/>
              </w:rPr>
            </w:pPr>
            <w:r>
              <w:rPr>
                <w:rFonts w:hint="eastAsia" w:ascii="宋体" w:hAnsi="宋体" w:eastAsia="宋体" w:cs="宋体"/>
                <w:spacing w:val="-13"/>
                <w:sz w:val="24"/>
                <w:szCs w:val="24"/>
                <w:lang w:eastAsia="zh-CN"/>
              </w:rPr>
              <w:t>常用工具（包括扳手、套筒、</w:t>
            </w:r>
            <w:r>
              <w:rPr>
                <w:rFonts w:hint="eastAsia" w:ascii="宋体" w:hAnsi="宋体" w:eastAsia="宋体" w:cs="宋体"/>
                <w:sz w:val="24"/>
                <w:szCs w:val="24"/>
                <w:lang w:eastAsia="zh-CN"/>
              </w:rPr>
              <w:t>起子、尖嘴钳等）</w:t>
            </w:r>
          </w:p>
        </w:tc>
        <w:tc>
          <w:tcPr>
            <w:tcW w:w="877" w:type="pct"/>
            <w:tcBorders>
              <w:tl2br w:val="nil"/>
              <w:tr2bl w:val="nil"/>
            </w:tcBorders>
            <w:vAlign w:val="center"/>
          </w:tcPr>
          <w:p>
            <w:pPr>
              <w:pStyle w:val="19"/>
              <w:ind w:firstLine="0" w:firstLineChars="0"/>
              <w:jc w:val="center"/>
              <w:rPr>
                <w:rFonts w:ascii="宋体" w:hAnsi="宋体" w:eastAsia="宋体" w:cs="宋体"/>
                <w:sz w:val="24"/>
                <w:szCs w:val="24"/>
              </w:rPr>
            </w:pPr>
            <w:r>
              <w:rPr>
                <w:rFonts w:hint="eastAsia" w:ascii="宋体" w:hAnsi="宋体" w:eastAsia="宋体" w:cs="宋体"/>
                <w:sz w:val="24"/>
                <w:szCs w:val="24"/>
              </w:rPr>
              <w:t>1套/工位</w:t>
            </w:r>
          </w:p>
        </w:tc>
        <w:tc>
          <w:tcPr>
            <w:tcW w:w="1500" w:type="pct"/>
            <w:tcBorders>
              <w:tl2br w:val="nil"/>
              <w:tr2bl w:val="nil"/>
            </w:tcBorders>
            <w:vAlign w:val="center"/>
          </w:tcPr>
          <w:p>
            <w:pPr>
              <w:pStyle w:val="19"/>
              <w:ind w:firstLine="0" w:firstLineChars="0"/>
              <w:jc w:val="center"/>
              <w:rPr>
                <w:rFonts w:ascii="宋体" w:hAnsi="宋体" w:eastAsia="宋体" w:cs="宋体"/>
                <w:sz w:val="24"/>
                <w:szCs w:val="24"/>
              </w:rPr>
            </w:pPr>
            <w:r>
              <w:rPr>
                <w:rFonts w:hint="eastAsia" w:ascii="宋体" w:hAnsi="宋体" w:eastAsia="宋体" w:cs="宋体"/>
                <w:sz w:val="24"/>
                <w:szCs w:val="24"/>
              </w:rPr>
              <w:t>通用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67" w:hRule="atLeast"/>
        </w:trPr>
        <w:tc>
          <w:tcPr>
            <w:tcW w:w="531" w:type="pct"/>
            <w:tcBorders>
              <w:tl2br w:val="nil"/>
              <w:tr2bl w:val="nil"/>
            </w:tcBorders>
            <w:vAlign w:val="center"/>
          </w:tcPr>
          <w:p>
            <w:pPr>
              <w:pStyle w:val="19"/>
              <w:spacing w:before="140"/>
              <w:ind w:right="2" w:firstLine="0" w:firstLineChars="0"/>
              <w:jc w:val="center"/>
              <w:rPr>
                <w:rFonts w:ascii="宋体" w:hAnsi="宋体" w:eastAsia="宋体" w:cs="宋体"/>
                <w:sz w:val="24"/>
                <w:szCs w:val="24"/>
              </w:rPr>
            </w:pPr>
            <w:r>
              <w:rPr>
                <w:rFonts w:hint="eastAsia" w:ascii="宋体" w:hAnsi="宋体" w:eastAsia="宋体" w:cs="宋体"/>
                <w:sz w:val="24"/>
                <w:szCs w:val="24"/>
              </w:rPr>
              <w:t>1</w:t>
            </w:r>
            <w:r>
              <w:rPr>
                <w:rFonts w:ascii="宋体" w:hAnsi="宋体" w:eastAsia="宋体" w:cs="宋体"/>
                <w:sz w:val="24"/>
                <w:szCs w:val="24"/>
              </w:rPr>
              <w:t>3</w:t>
            </w:r>
          </w:p>
        </w:tc>
        <w:tc>
          <w:tcPr>
            <w:tcW w:w="2091" w:type="pct"/>
            <w:tcBorders>
              <w:tl2br w:val="nil"/>
              <w:tr2bl w:val="nil"/>
            </w:tcBorders>
            <w:vAlign w:val="center"/>
          </w:tcPr>
          <w:p>
            <w:pPr>
              <w:pStyle w:val="19"/>
              <w:spacing w:before="130"/>
              <w:ind w:firstLine="0" w:firstLineChars="0"/>
              <w:jc w:val="center"/>
              <w:rPr>
                <w:rFonts w:ascii="宋体" w:hAnsi="宋体" w:eastAsia="宋体" w:cs="宋体"/>
                <w:sz w:val="24"/>
                <w:szCs w:val="24"/>
              </w:rPr>
            </w:pPr>
            <w:r>
              <w:rPr>
                <w:rFonts w:hint="eastAsia" w:ascii="宋体" w:hAnsi="宋体" w:eastAsia="宋体" w:cs="宋体"/>
                <w:sz w:val="24"/>
                <w:szCs w:val="24"/>
              </w:rPr>
              <w:t>内饰件撬板</w:t>
            </w:r>
          </w:p>
        </w:tc>
        <w:tc>
          <w:tcPr>
            <w:tcW w:w="877" w:type="pct"/>
            <w:tcBorders>
              <w:tl2br w:val="nil"/>
              <w:tr2bl w:val="nil"/>
            </w:tcBorders>
            <w:vAlign w:val="center"/>
          </w:tcPr>
          <w:p>
            <w:pPr>
              <w:pStyle w:val="19"/>
              <w:spacing w:before="130"/>
              <w:ind w:firstLine="0" w:firstLineChars="0"/>
              <w:jc w:val="center"/>
              <w:rPr>
                <w:rFonts w:ascii="宋体" w:hAnsi="宋体" w:eastAsia="宋体" w:cs="宋体"/>
                <w:sz w:val="24"/>
                <w:szCs w:val="24"/>
              </w:rPr>
            </w:pPr>
            <w:r>
              <w:rPr>
                <w:rFonts w:hint="eastAsia" w:ascii="宋体" w:hAnsi="宋体" w:eastAsia="宋体" w:cs="宋体"/>
                <w:sz w:val="24"/>
                <w:szCs w:val="24"/>
              </w:rPr>
              <w:t>1套/工位</w:t>
            </w:r>
          </w:p>
        </w:tc>
        <w:tc>
          <w:tcPr>
            <w:tcW w:w="1500" w:type="pct"/>
            <w:tcBorders>
              <w:tl2br w:val="nil"/>
              <w:tr2bl w:val="nil"/>
            </w:tcBorders>
            <w:vAlign w:val="center"/>
          </w:tcPr>
          <w:p>
            <w:pPr>
              <w:pStyle w:val="19"/>
              <w:spacing w:before="84"/>
              <w:ind w:firstLine="0" w:firstLineChars="0"/>
              <w:jc w:val="center"/>
              <w:rPr>
                <w:rFonts w:ascii="宋体" w:hAnsi="宋体" w:eastAsia="宋体" w:cs="宋体"/>
                <w:sz w:val="24"/>
                <w:szCs w:val="24"/>
              </w:rPr>
            </w:pPr>
            <w:r>
              <w:rPr>
                <w:rFonts w:hint="eastAsia" w:ascii="宋体" w:hAnsi="宋体" w:eastAsia="宋体" w:cs="宋体"/>
                <w:sz w:val="24"/>
                <w:szCs w:val="24"/>
              </w:rPr>
              <w:t>通用</w:t>
            </w:r>
          </w:p>
        </w:tc>
      </w:tr>
    </w:tbl>
    <w:p>
      <w:pPr>
        <w:pStyle w:val="3"/>
        <w:spacing w:before="72"/>
        <w:ind w:firstLine="640"/>
        <w:rPr>
          <w:rFonts w:ascii="黑体" w:hAnsi="黑体" w:eastAsia="黑体" w:cs="黑体"/>
          <w:b w:val="0"/>
          <w:bCs w:val="0"/>
          <w:sz w:val="32"/>
        </w:rPr>
      </w:pPr>
      <w:bookmarkStart w:id="54" w:name="五、安全、健康要求"/>
      <w:bookmarkEnd w:id="54"/>
      <w:bookmarkStart w:id="55" w:name="_Toc4971"/>
      <w:r>
        <w:rPr>
          <w:rFonts w:hint="eastAsia" w:ascii="黑体" w:hAnsi="黑体" w:eastAsia="黑体" w:cs="黑体"/>
          <w:b w:val="0"/>
          <w:bCs w:val="0"/>
          <w:sz w:val="32"/>
        </w:rPr>
        <w:t>五、安全、健康要求</w:t>
      </w:r>
      <w:bookmarkEnd w:id="55"/>
    </w:p>
    <w:p>
      <w:pPr>
        <w:pStyle w:val="4"/>
        <w:ind w:firstLine="643"/>
        <w:rPr>
          <w:sz w:val="32"/>
          <w:lang w:eastAsia="zh-CN"/>
        </w:rPr>
      </w:pPr>
      <w:bookmarkStart w:id="56" w:name="（一）选手需使用防护装备"/>
      <w:bookmarkEnd w:id="56"/>
      <w:bookmarkStart w:id="57" w:name="_Toc27773"/>
      <w:r>
        <w:rPr>
          <w:sz w:val="32"/>
          <w:lang w:eastAsia="zh-CN"/>
        </w:rPr>
        <w:t>（一）选手需使用防护装备</w:t>
      </w:r>
      <w:bookmarkEnd w:id="57"/>
    </w:p>
    <w:p>
      <w:pPr>
        <w:pStyle w:val="5"/>
        <w:ind w:firstLine="640"/>
        <w:jc w:val="left"/>
        <w:rPr>
          <w:rFonts w:cs="仿宋"/>
          <w:szCs w:val="24"/>
          <w:lang w:eastAsia="zh-CN"/>
        </w:rPr>
      </w:pPr>
      <w:r>
        <w:rPr>
          <w:sz w:val="32"/>
          <w:lang w:eastAsia="zh-CN"/>
        </w:rPr>
        <w:t>参赛选手必须按照规定穿戴防护装备，如</w:t>
      </w:r>
      <w:r>
        <w:rPr>
          <w:rFonts w:hint="eastAsia"/>
          <w:sz w:val="32"/>
          <w:lang w:eastAsia="zh-CN"/>
        </w:rPr>
        <w:t>下</w:t>
      </w:r>
      <w:r>
        <w:rPr>
          <w:sz w:val="32"/>
          <w:lang w:eastAsia="zh-CN"/>
        </w:rPr>
        <w:t>表所示。</w:t>
      </w:r>
    </w:p>
    <w:tbl>
      <w:tblPr>
        <w:tblStyle w:val="17"/>
        <w:tblpPr w:leftFromText="181" w:rightFromText="181" w:bottomFromText="283" w:vertAnchor="text" w:tblpY="1"/>
        <w:tblOverlap w:val="never"/>
        <w:tblW w:w="4998" w:type="pct"/>
        <w:tblInd w:w="0" w:type="dxa"/>
        <w:tblLayout w:type="autofit"/>
        <w:tblCellMar>
          <w:top w:w="0" w:type="dxa"/>
          <w:left w:w="0" w:type="dxa"/>
          <w:bottom w:w="0" w:type="dxa"/>
          <w:right w:w="0" w:type="dxa"/>
        </w:tblCellMar>
      </w:tblPr>
      <w:tblGrid>
        <w:gridCol w:w="3084"/>
        <w:gridCol w:w="3088"/>
        <w:gridCol w:w="2910"/>
      </w:tblGrid>
      <w:tr>
        <w:tblPrEx>
          <w:tblCellMar>
            <w:top w:w="0" w:type="dxa"/>
            <w:left w:w="0" w:type="dxa"/>
            <w:bottom w:w="0" w:type="dxa"/>
            <w:right w:w="0" w:type="dxa"/>
          </w:tblCellMar>
        </w:tblPrEx>
        <w:trPr>
          <w:trHeight w:val="578" w:hRule="exact"/>
        </w:trPr>
        <w:tc>
          <w:tcPr>
            <w:tcW w:w="1698" w:type="pct"/>
            <w:tcBorders>
              <w:top w:val="single" w:color="000000" w:sz="4" w:space="0"/>
              <w:left w:val="single" w:color="000000" w:sz="4" w:space="0"/>
              <w:bottom w:val="single" w:color="000000" w:sz="4" w:space="0"/>
              <w:right w:val="single" w:color="000000" w:sz="4" w:space="0"/>
            </w:tcBorders>
            <w:vAlign w:val="center"/>
          </w:tcPr>
          <w:p>
            <w:pPr>
              <w:pStyle w:val="19"/>
              <w:spacing w:before="43"/>
              <w:ind w:right="1" w:firstLine="482"/>
              <w:jc w:val="center"/>
              <w:rPr>
                <w:rFonts w:ascii="宋体" w:hAnsi="宋体" w:eastAsia="宋体" w:cs="宋体"/>
                <w:sz w:val="24"/>
                <w:szCs w:val="24"/>
              </w:rPr>
            </w:pPr>
            <w:r>
              <w:rPr>
                <w:rFonts w:hint="eastAsia" w:ascii="宋体" w:hAnsi="宋体" w:eastAsia="宋体" w:cs="宋体"/>
                <w:b/>
                <w:bCs/>
                <w:sz w:val="24"/>
                <w:szCs w:val="24"/>
              </w:rPr>
              <w:t>防护项目</w:t>
            </w:r>
          </w:p>
        </w:tc>
        <w:tc>
          <w:tcPr>
            <w:tcW w:w="1700" w:type="pct"/>
            <w:tcBorders>
              <w:top w:val="single" w:color="000000" w:sz="4" w:space="0"/>
              <w:left w:val="single" w:color="000000" w:sz="4" w:space="0"/>
              <w:bottom w:val="single" w:color="000000" w:sz="4" w:space="0"/>
              <w:right w:val="single" w:color="000000" w:sz="4" w:space="0"/>
            </w:tcBorders>
            <w:vAlign w:val="center"/>
          </w:tcPr>
          <w:p>
            <w:pPr>
              <w:pStyle w:val="19"/>
              <w:spacing w:before="43"/>
              <w:ind w:firstLine="482"/>
              <w:jc w:val="center"/>
              <w:rPr>
                <w:rFonts w:ascii="宋体" w:hAnsi="宋体" w:eastAsia="宋体" w:cs="宋体"/>
                <w:sz w:val="24"/>
                <w:szCs w:val="24"/>
              </w:rPr>
            </w:pPr>
            <w:r>
              <w:rPr>
                <w:rFonts w:hint="eastAsia" w:ascii="宋体" w:hAnsi="宋体" w:eastAsia="宋体" w:cs="宋体"/>
                <w:b/>
                <w:bCs/>
                <w:sz w:val="24"/>
                <w:szCs w:val="24"/>
              </w:rPr>
              <w:t>图示</w:t>
            </w:r>
          </w:p>
        </w:tc>
        <w:tc>
          <w:tcPr>
            <w:tcW w:w="1602" w:type="pct"/>
            <w:tcBorders>
              <w:top w:val="single" w:color="000000" w:sz="4" w:space="0"/>
              <w:left w:val="single" w:color="000000" w:sz="4" w:space="0"/>
              <w:bottom w:val="single" w:color="000000" w:sz="4" w:space="0"/>
              <w:right w:val="single" w:color="000000" w:sz="4" w:space="0"/>
            </w:tcBorders>
            <w:vAlign w:val="center"/>
          </w:tcPr>
          <w:p>
            <w:pPr>
              <w:pStyle w:val="19"/>
              <w:spacing w:before="43"/>
              <w:ind w:right="1" w:firstLine="482"/>
              <w:jc w:val="center"/>
              <w:rPr>
                <w:rFonts w:ascii="宋体" w:hAnsi="宋体" w:eastAsia="宋体" w:cs="宋体"/>
                <w:sz w:val="24"/>
                <w:szCs w:val="24"/>
              </w:rPr>
            </w:pPr>
            <w:r>
              <w:rPr>
                <w:rFonts w:hint="eastAsia" w:ascii="宋体" w:hAnsi="宋体" w:eastAsia="宋体" w:cs="宋体"/>
                <w:b/>
                <w:bCs/>
                <w:sz w:val="24"/>
                <w:szCs w:val="24"/>
              </w:rPr>
              <w:t>说明</w:t>
            </w:r>
          </w:p>
        </w:tc>
      </w:tr>
      <w:tr>
        <w:tblPrEx>
          <w:tblCellMar>
            <w:top w:w="0" w:type="dxa"/>
            <w:left w:w="0" w:type="dxa"/>
            <w:bottom w:w="0" w:type="dxa"/>
            <w:right w:w="0" w:type="dxa"/>
          </w:tblCellMar>
        </w:tblPrEx>
        <w:trPr>
          <w:trHeight w:val="1258" w:hRule="exact"/>
        </w:trPr>
        <w:tc>
          <w:tcPr>
            <w:tcW w:w="1698" w:type="pct"/>
            <w:tcBorders>
              <w:top w:val="single" w:color="000000" w:sz="4" w:space="0"/>
              <w:left w:val="single" w:color="000000" w:sz="4" w:space="0"/>
              <w:bottom w:val="single" w:color="000000" w:sz="4" w:space="0"/>
              <w:right w:val="single" w:color="000000" w:sz="4" w:space="0"/>
            </w:tcBorders>
            <w:vAlign w:val="center"/>
          </w:tcPr>
          <w:p>
            <w:pPr>
              <w:pStyle w:val="19"/>
              <w:ind w:firstLine="0" w:firstLineChars="0"/>
              <w:jc w:val="center"/>
              <w:rPr>
                <w:rFonts w:ascii="宋体" w:hAnsi="宋体" w:eastAsia="宋体" w:cs="宋体"/>
                <w:sz w:val="24"/>
                <w:szCs w:val="24"/>
              </w:rPr>
            </w:pPr>
            <w:r>
              <w:rPr>
                <w:rFonts w:hint="eastAsia" w:ascii="宋体" w:hAnsi="宋体" w:eastAsia="宋体" w:cs="宋体"/>
                <w:sz w:val="24"/>
                <w:szCs w:val="24"/>
              </w:rPr>
              <w:t>头部的防护</w:t>
            </w:r>
          </w:p>
        </w:tc>
        <w:tc>
          <w:tcPr>
            <w:tcW w:w="1700" w:type="pct"/>
            <w:tcBorders>
              <w:top w:val="single" w:color="000000" w:sz="4" w:space="0"/>
              <w:left w:val="single" w:color="000000" w:sz="4" w:space="0"/>
              <w:bottom w:val="single" w:color="000000" w:sz="4" w:space="0"/>
              <w:right w:val="single" w:color="000000" w:sz="4" w:space="0"/>
            </w:tcBorders>
          </w:tcPr>
          <w:p>
            <w:pPr>
              <w:pStyle w:val="19"/>
              <w:spacing w:before="6"/>
              <w:ind w:firstLine="480"/>
              <w:jc w:val="both"/>
              <w:rPr>
                <w:rFonts w:ascii="宋体" w:hAnsi="宋体" w:eastAsia="宋体" w:cs="宋体"/>
                <w:sz w:val="24"/>
                <w:szCs w:val="24"/>
              </w:rPr>
            </w:pPr>
            <w:r>
              <w:rPr>
                <w:rFonts w:hint="eastAsia" w:ascii="宋体" w:hAnsi="宋体" w:eastAsia="宋体" w:cs="宋体"/>
                <w:position w:val="-22"/>
                <w:sz w:val="24"/>
                <w:szCs w:val="24"/>
                <w:lang w:eastAsia="zh-CN"/>
              </w:rPr>
              <w:drawing>
                <wp:inline distT="0" distB="0" distL="0" distR="0">
                  <wp:extent cx="1015365" cy="781685"/>
                  <wp:effectExtent l="0" t="0" r="5715" b="10795"/>
                  <wp:docPr id="3" name="image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4.jpeg"/>
                          <pic:cNvPicPr>
                            <a:picLocks noChangeAspect="1"/>
                          </pic:cNvPicPr>
                        </pic:nvPicPr>
                        <pic:blipFill>
                          <a:blip r:embed="rId14" cstate="print"/>
                          <a:stretch>
                            <a:fillRect/>
                          </a:stretch>
                        </pic:blipFill>
                        <pic:spPr>
                          <a:xfrm>
                            <a:off x="0" y="0"/>
                            <a:ext cx="1015365" cy="781685"/>
                          </a:xfrm>
                          <a:prstGeom prst="rect">
                            <a:avLst/>
                          </a:prstGeom>
                        </pic:spPr>
                      </pic:pic>
                    </a:graphicData>
                  </a:graphic>
                </wp:inline>
              </w:drawing>
            </w:r>
          </w:p>
          <w:p>
            <w:pPr>
              <w:pStyle w:val="19"/>
              <w:ind w:firstLine="0" w:firstLineChars="0"/>
              <w:jc w:val="center"/>
              <w:rPr>
                <w:rFonts w:ascii="宋体" w:hAnsi="宋体" w:eastAsia="宋体" w:cs="宋体"/>
                <w:sz w:val="24"/>
                <w:szCs w:val="24"/>
              </w:rPr>
            </w:pPr>
          </w:p>
        </w:tc>
        <w:tc>
          <w:tcPr>
            <w:tcW w:w="1602" w:type="pct"/>
            <w:tcBorders>
              <w:top w:val="single" w:color="000000" w:sz="4" w:space="0"/>
              <w:left w:val="single" w:color="000000" w:sz="4" w:space="0"/>
              <w:bottom w:val="single" w:color="000000" w:sz="4" w:space="0"/>
              <w:right w:val="single" w:color="000000" w:sz="4" w:space="0"/>
            </w:tcBorders>
            <w:vAlign w:val="center"/>
          </w:tcPr>
          <w:p>
            <w:pPr>
              <w:pStyle w:val="19"/>
              <w:ind w:firstLine="0" w:firstLineChars="0"/>
              <w:jc w:val="center"/>
              <w:rPr>
                <w:rFonts w:ascii="宋体" w:hAnsi="宋体" w:eastAsia="宋体" w:cs="宋体"/>
                <w:sz w:val="24"/>
                <w:szCs w:val="24"/>
              </w:rPr>
            </w:pPr>
            <w:r>
              <w:rPr>
                <w:rFonts w:hint="eastAsia" w:ascii="宋体" w:hAnsi="宋体" w:eastAsia="宋体" w:cs="宋体"/>
                <w:sz w:val="24"/>
                <w:szCs w:val="24"/>
              </w:rPr>
              <w:t>防护头部</w:t>
            </w:r>
          </w:p>
        </w:tc>
      </w:tr>
      <w:tr>
        <w:tblPrEx>
          <w:tblCellMar>
            <w:top w:w="0" w:type="dxa"/>
            <w:left w:w="0" w:type="dxa"/>
            <w:bottom w:w="0" w:type="dxa"/>
            <w:right w:w="0" w:type="dxa"/>
          </w:tblCellMar>
        </w:tblPrEx>
        <w:trPr>
          <w:trHeight w:val="1882" w:hRule="exact"/>
        </w:trPr>
        <w:tc>
          <w:tcPr>
            <w:tcW w:w="1698" w:type="pct"/>
            <w:tcBorders>
              <w:top w:val="single" w:color="000000" w:sz="4" w:space="0"/>
              <w:left w:val="single" w:color="000000" w:sz="4" w:space="0"/>
              <w:bottom w:val="single" w:color="000000" w:sz="4" w:space="0"/>
              <w:right w:val="single" w:color="000000" w:sz="4" w:space="0"/>
            </w:tcBorders>
            <w:vAlign w:val="center"/>
          </w:tcPr>
          <w:p>
            <w:pPr>
              <w:pStyle w:val="19"/>
              <w:ind w:firstLine="0" w:firstLineChars="0"/>
              <w:jc w:val="center"/>
              <w:rPr>
                <w:rFonts w:ascii="宋体" w:hAnsi="宋体" w:eastAsia="宋体" w:cs="宋体"/>
                <w:sz w:val="24"/>
                <w:szCs w:val="24"/>
              </w:rPr>
            </w:pPr>
            <w:r>
              <w:rPr>
                <w:rFonts w:hint="eastAsia" w:ascii="宋体" w:hAnsi="宋体" w:eastAsia="宋体" w:cs="宋体"/>
                <w:sz w:val="24"/>
                <w:szCs w:val="24"/>
              </w:rPr>
              <w:t>身体的防护</w:t>
            </w:r>
          </w:p>
        </w:tc>
        <w:tc>
          <w:tcPr>
            <w:tcW w:w="1700" w:type="pct"/>
            <w:tcBorders>
              <w:top w:val="single" w:color="000000" w:sz="4" w:space="0"/>
              <w:left w:val="single" w:color="000000" w:sz="4" w:space="0"/>
              <w:bottom w:val="single" w:color="000000" w:sz="4" w:space="0"/>
              <w:right w:val="single" w:color="000000" w:sz="4" w:space="0"/>
            </w:tcBorders>
          </w:tcPr>
          <w:p>
            <w:pPr>
              <w:ind w:firstLine="0" w:firstLineChars="0"/>
              <w:jc w:val="both"/>
              <w:rPr>
                <w:rFonts w:ascii="宋体" w:hAnsi="宋体" w:eastAsia="宋体" w:cs="宋体"/>
                <w:sz w:val="24"/>
                <w:szCs w:val="24"/>
              </w:rPr>
            </w:pPr>
            <w:r>
              <w:rPr>
                <w:rFonts w:hint="eastAsia" w:ascii="宋体" w:hAnsi="宋体" w:eastAsia="宋体" w:cs="宋体"/>
                <w:sz w:val="24"/>
                <w:szCs w:val="24"/>
              </w:rPr>
              <w:drawing>
                <wp:anchor distT="0" distB="0" distL="114300" distR="114300" simplePos="0" relativeHeight="251666432" behindDoc="0" locked="0" layoutInCell="1" allowOverlap="1">
                  <wp:simplePos x="0" y="0"/>
                  <wp:positionH relativeFrom="column">
                    <wp:posOffset>526415</wp:posOffset>
                  </wp:positionH>
                  <wp:positionV relativeFrom="paragraph">
                    <wp:posOffset>78105</wp:posOffset>
                  </wp:positionV>
                  <wp:extent cx="788035" cy="1001395"/>
                  <wp:effectExtent l="0" t="0" r="12065" b="8255"/>
                  <wp:wrapSquare wrapText="bothSides"/>
                  <wp:docPr id="1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5"/>
                          <pic:cNvPicPr>
                            <a:picLocks noChangeAspect="1"/>
                          </pic:cNvPicPr>
                        </pic:nvPicPr>
                        <pic:blipFill>
                          <a:blip r:embed="rId15"/>
                          <a:stretch>
                            <a:fillRect/>
                          </a:stretch>
                        </pic:blipFill>
                        <pic:spPr>
                          <a:xfrm>
                            <a:off x="0" y="0"/>
                            <a:ext cx="788035" cy="1001395"/>
                          </a:xfrm>
                          <a:prstGeom prst="rect">
                            <a:avLst/>
                          </a:prstGeom>
                          <a:noFill/>
                          <a:ln>
                            <a:noFill/>
                          </a:ln>
                        </pic:spPr>
                      </pic:pic>
                    </a:graphicData>
                  </a:graphic>
                </wp:anchor>
              </w:drawing>
            </w:r>
          </w:p>
        </w:tc>
        <w:tc>
          <w:tcPr>
            <w:tcW w:w="1602" w:type="pct"/>
            <w:tcBorders>
              <w:top w:val="single" w:color="000000" w:sz="4" w:space="0"/>
              <w:left w:val="single" w:color="000000" w:sz="4" w:space="0"/>
              <w:bottom w:val="single" w:color="000000" w:sz="4" w:space="0"/>
              <w:right w:val="single" w:color="000000" w:sz="4" w:space="0"/>
            </w:tcBorders>
          </w:tcPr>
          <w:p>
            <w:pPr>
              <w:pStyle w:val="19"/>
              <w:ind w:firstLine="0" w:firstLineChars="0"/>
              <w:jc w:val="both"/>
              <w:rPr>
                <w:rFonts w:ascii="宋体" w:hAnsi="宋体" w:eastAsia="宋体" w:cs="宋体"/>
                <w:sz w:val="24"/>
                <w:szCs w:val="24"/>
                <w:lang w:eastAsia="zh-CN"/>
              </w:rPr>
            </w:pPr>
            <w:r>
              <w:rPr>
                <w:rFonts w:hint="eastAsia" w:ascii="宋体" w:hAnsi="宋体" w:eastAsia="宋体" w:cs="宋体"/>
                <w:sz w:val="24"/>
                <w:szCs w:val="24"/>
                <w:lang w:eastAsia="zh-CN"/>
              </w:rPr>
              <w:t>（1）必须是长裤</w:t>
            </w:r>
          </w:p>
          <w:p>
            <w:pPr>
              <w:pStyle w:val="19"/>
              <w:spacing w:before="136"/>
              <w:ind w:right="-14" w:firstLine="0" w:firstLineChars="0"/>
              <w:jc w:val="both"/>
              <w:rPr>
                <w:rFonts w:ascii="宋体" w:hAnsi="宋体" w:eastAsia="宋体" w:cs="宋体"/>
                <w:sz w:val="24"/>
                <w:szCs w:val="24"/>
                <w:lang w:eastAsia="zh-CN"/>
              </w:rPr>
            </w:pPr>
            <w:r>
              <w:rPr>
                <w:rFonts w:hint="eastAsia" w:ascii="宋体" w:hAnsi="宋体" w:eastAsia="宋体" w:cs="宋体"/>
                <w:spacing w:val="-9"/>
                <w:sz w:val="24"/>
                <w:szCs w:val="24"/>
                <w:lang w:eastAsia="zh-CN"/>
              </w:rPr>
              <w:t>（2）防护服必须松紧合适，</w:t>
            </w:r>
            <w:r>
              <w:rPr>
                <w:rFonts w:hint="eastAsia" w:ascii="宋体" w:hAnsi="宋体" w:eastAsia="宋体" w:cs="宋体"/>
                <w:sz w:val="24"/>
                <w:szCs w:val="24"/>
                <w:lang w:eastAsia="zh-CN"/>
              </w:rPr>
              <w:t>达到三紧要求</w:t>
            </w:r>
          </w:p>
        </w:tc>
      </w:tr>
      <w:tr>
        <w:tblPrEx>
          <w:tblCellMar>
            <w:top w:w="0" w:type="dxa"/>
            <w:left w:w="0" w:type="dxa"/>
            <w:bottom w:w="0" w:type="dxa"/>
            <w:right w:w="0" w:type="dxa"/>
          </w:tblCellMar>
        </w:tblPrEx>
        <w:trPr>
          <w:trHeight w:val="1258" w:hRule="exact"/>
        </w:trPr>
        <w:tc>
          <w:tcPr>
            <w:tcW w:w="1698" w:type="pct"/>
            <w:tcBorders>
              <w:top w:val="single" w:color="000000" w:sz="4" w:space="0"/>
              <w:left w:val="single" w:color="000000" w:sz="4" w:space="0"/>
              <w:bottom w:val="single" w:color="000000" w:sz="4" w:space="0"/>
              <w:right w:val="single" w:color="000000" w:sz="4" w:space="0"/>
            </w:tcBorders>
            <w:vAlign w:val="center"/>
          </w:tcPr>
          <w:p>
            <w:pPr>
              <w:pStyle w:val="19"/>
              <w:ind w:firstLine="0" w:firstLineChars="0"/>
              <w:jc w:val="center"/>
              <w:rPr>
                <w:rFonts w:ascii="宋体" w:hAnsi="宋体" w:eastAsia="宋体" w:cs="宋体"/>
                <w:sz w:val="24"/>
                <w:szCs w:val="24"/>
              </w:rPr>
            </w:pPr>
            <w:r>
              <w:rPr>
                <w:rFonts w:hint="eastAsia" w:ascii="宋体" w:hAnsi="宋体" w:eastAsia="宋体" w:cs="宋体"/>
                <w:sz w:val="24"/>
                <w:szCs w:val="24"/>
              </w:rPr>
              <w:t>足部的防护</w:t>
            </w:r>
          </w:p>
        </w:tc>
        <w:tc>
          <w:tcPr>
            <w:tcW w:w="1700" w:type="pct"/>
            <w:tcBorders>
              <w:top w:val="single" w:color="000000" w:sz="4" w:space="0"/>
              <w:left w:val="single" w:color="000000" w:sz="4" w:space="0"/>
              <w:bottom w:val="single" w:color="000000" w:sz="4" w:space="0"/>
              <w:right w:val="single" w:color="000000" w:sz="4" w:space="0"/>
            </w:tcBorders>
          </w:tcPr>
          <w:p>
            <w:pPr>
              <w:ind w:firstLine="0" w:firstLineChars="0"/>
              <w:jc w:val="both"/>
              <w:rPr>
                <w:rFonts w:ascii="宋体" w:hAnsi="宋体" w:eastAsia="宋体" w:cs="宋体"/>
                <w:sz w:val="24"/>
                <w:szCs w:val="24"/>
              </w:rPr>
            </w:pPr>
            <w:r>
              <w:rPr>
                <w:rFonts w:hint="eastAsia" w:ascii="宋体" w:hAnsi="宋体" w:eastAsia="宋体" w:cs="宋体"/>
                <w:sz w:val="24"/>
                <w:szCs w:val="24"/>
              </w:rPr>
              <w:drawing>
                <wp:anchor distT="0" distB="0" distL="114300" distR="114300" simplePos="0" relativeHeight="251667456" behindDoc="0" locked="0" layoutInCell="1" allowOverlap="1">
                  <wp:simplePos x="0" y="0"/>
                  <wp:positionH relativeFrom="column">
                    <wp:posOffset>327025</wp:posOffset>
                  </wp:positionH>
                  <wp:positionV relativeFrom="paragraph">
                    <wp:posOffset>17145</wp:posOffset>
                  </wp:positionV>
                  <wp:extent cx="1121410" cy="754380"/>
                  <wp:effectExtent l="0" t="0" r="2540" b="7620"/>
                  <wp:wrapSquare wrapText="bothSides"/>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16"/>
                          <a:stretch>
                            <a:fillRect/>
                          </a:stretch>
                        </pic:blipFill>
                        <pic:spPr>
                          <a:xfrm>
                            <a:off x="0" y="0"/>
                            <a:ext cx="1121410" cy="754380"/>
                          </a:xfrm>
                          <a:prstGeom prst="rect">
                            <a:avLst/>
                          </a:prstGeom>
                          <a:noFill/>
                          <a:ln>
                            <a:noFill/>
                          </a:ln>
                        </pic:spPr>
                      </pic:pic>
                    </a:graphicData>
                  </a:graphic>
                </wp:anchor>
              </w:drawing>
            </w:r>
          </w:p>
        </w:tc>
        <w:tc>
          <w:tcPr>
            <w:tcW w:w="1602" w:type="pct"/>
            <w:tcBorders>
              <w:top w:val="single" w:color="000000" w:sz="4" w:space="0"/>
              <w:left w:val="single" w:color="000000" w:sz="4" w:space="0"/>
              <w:bottom w:val="single" w:color="000000" w:sz="4" w:space="0"/>
              <w:right w:val="single" w:color="000000" w:sz="4" w:space="0"/>
            </w:tcBorders>
          </w:tcPr>
          <w:p>
            <w:pPr>
              <w:pStyle w:val="19"/>
              <w:spacing w:before="197"/>
              <w:ind w:firstLine="0" w:firstLineChars="0"/>
              <w:jc w:val="both"/>
              <w:rPr>
                <w:rFonts w:ascii="宋体" w:hAnsi="宋体" w:eastAsia="宋体" w:cs="宋体"/>
                <w:sz w:val="24"/>
                <w:szCs w:val="24"/>
              </w:rPr>
            </w:pPr>
            <w:r>
              <w:rPr>
                <w:rFonts w:hint="eastAsia" w:ascii="宋体" w:hAnsi="宋体" w:eastAsia="宋体" w:cs="宋体"/>
                <w:sz w:val="24"/>
                <w:szCs w:val="24"/>
              </w:rPr>
              <w:t>（1）防滑、防砸、防穿刺</w:t>
            </w:r>
          </w:p>
          <w:p>
            <w:pPr>
              <w:pStyle w:val="19"/>
              <w:spacing w:before="135"/>
              <w:ind w:firstLine="0" w:firstLineChars="0"/>
              <w:jc w:val="both"/>
              <w:rPr>
                <w:rFonts w:ascii="宋体" w:hAnsi="宋体" w:eastAsia="宋体" w:cs="宋体"/>
                <w:sz w:val="24"/>
                <w:szCs w:val="24"/>
              </w:rPr>
            </w:pPr>
            <w:r>
              <w:rPr>
                <w:rFonts w:hint="eastAsia" w:ascii="宋体" w:hAnsi="宋体" w:eastAsia="宋体" w:cs="宋体"/>
                <w:sz w:val="24"/>
                <w:szCs w:val="24"/>
              </w:rPr>
              <w:t>（2）要求自备</w:t>
            </w:r>
          </w:p>
        </w:tc>
      </w:tr>
      <w:tr>
        <w:tblPrEx>
          <w:tblCellMar>
            <w:top w:w="0" w:type="dxa"/>
            <w:left w:w="0" w:type="dxa"/>
            <w:bottom w:w="0" w:type="dxa"/>
            <w:right w:w="0" w:type="dxa"/>
          </w:tblCellMar>
        </w:tblPrEx>
        <w:trPr>
          <w:trHeight w:val="1260" w:hRule="exact"/>
        </w:trPr>
        <w:tc>
          <w:tcPr>
            <w:tcW w:w="1698" w:type="pct"/>
            <w:tcBorders>
              <w:top w:val="single" w:color="000000" w:sz="4" w:space="0"/>
              <w:left w:val="single" w:color="000000" w:sz="4" w:space="0"/>
              <w:bottom w:val="single" w:color="000000" w:sz="4" w:space="0"/>
              <w:right w:val="single" w:color="000000" w:sz="4" w:space="0"/>
            </w:tcBorders>
            <w:vAlign w:val="center"/>
          </w:tcPr>
          <w:p>
            <w:pPr>
              <w:pStyle w:val="19"/>
              <w:ind w:firstLine="0" w:firstLineChars="0"/>
              <w:jc w:val="center"/>
              <w:rPr>
                <w:rFonts w:ascii="宋体" w:hAnsi="宋体" w:eastAsia="宋体" w:cs="宋体"/>
                <w:sz w:val="24"/>
                <w:szCs w:val="24"/>
              </w:rPr>
            </w:pPr>
            <w:r>
              <w:rPr>
                <w:rFonts w:hint="eastAsia" w:ascii="宋体" w:hAnsi="宋体" w:eastAsia="宋体" w:cs="宋体"/>
                <w:sz w:val="24"/>
                <w:szCs w:val="24"/>
              </w:rPr>
              <w:t>眼睛的防护</w:t>
            </w:r>
          </w:p>
        </w:tc>
        <w:tc>
          <w:tcPr>
            <w:tcW w:w="1700" w:type="pct"/>
            <w:tcBorders>
              <w:top w:val="single" w:color="000000" w:sz="4" w:space="0"/>
              <w:left w:val="single" w:color="000000" w:sz="4" w:space="0"/>
              <w:bottom w:val="single" w:color="000000" w:sz="4" w:space="0"/>
              <w:right w:val="single" w:color="000000" w:sz="4" w:space="0"/>
            </w:tcBorders>
          </w:tcPr>
          <w:p>
            <w:pPr>
              <w:pStyle w:val="19"/>
              <w:ind w:firstLine="0" w:firstLineChars="0"/>
              <w:jc w:val="center"/>
              <w:rPr>
                <w:rFonts w:ascii="宋体" w:hAnsi="宋体" w:eastAsia="宋体" w:cs="宋体"/>
                <w:sz w:val="24"/>
                <w:szCs w:val="24"/>
              </w:rPr>
            </w:pPr>
            <w:r>
              <w:rPr>
                <w:rFonts w:hint="eastAsia" w:ascii="宋体" w:hAnsi="宋体" w:eastAsia="宋体" w:cs="宋体"/>
                <w:position w:val="-20"/>
                <w:sz w:val="24"/>
                <w:szCs w:val="24"/>
                <w:lang w:eastAsia="zh-CN"/>
              </w:rPr>
              <w:drawing>
                <wp:anchor distT="0" distB="0" distL="0" distR="0" simplePos="0" relativeHeight="251661312" behindDoc="0" locked="0" layoutInCell="1" allowOverlap="1">
                  <wp:simplePos x="0" y="0"/>
                  <wp:positionH relativeFrom="column">
                    <wp:posOffset>408305</wp:posOffset>
                  </wp:positionH>
                  <wp:positionV relativeFrom="paragraph">
                    <wp:posOffset>69215</wp:posOffset>
                  </wp:positionV>
                  <wp:extent cx="1127760" cy="666750"/>
                  <wp:effectExtent l="0" t="0" r="15240" b="0"/>
                  <wp:wrapSquare wrapText="bothSides"/>
                  <wp:docPr id="5" name="image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5.jpeg"/>
                          <pic:cNvPicPr>
                            <a:picLocks noChangeAspect="1"/>
                          </pic:cNvPicPr>
                        </pic:nvPicPr>
                        <pic:blipFill>
                          <a:blip r:embed="rId17" cstate="print"/>
                          <a:stretch>
                            <a:fillRect/>
                          </a:stretch>
                        </pic:blipFill>
                        <pic:spPr>
                          <a:xfrm>
                            <a:off x="0" y="0"/>
                            <a:ext cx="1127854" cy="666750"/>
                          </a:xfrm>
                          <a:prstGeom prst="rect">
                            <a:avLst/>
                          </a:prstGeom>
                        </pic:spPr>
                      </pic:pic>
                    </a:graphicData>
                  </a:graphic>
                </wp:anchor>
              </w:drawing>
            </w:r>
          </w:p>
        </w:tc>
        <w:tc>
          <w:tcPr>
            <w:tcW w:w="1602" w:type="pct"/>
            <w:tcBorders>
              <w:top w:val="single" w:color="000000" w:sz="4" w:space="0"/>
              <w:left w:val="single" w:color="000000" w:sz="4" w:space="0"/>
              <w:bottom w:val="single" w:color="000000" w:sz="4" w:space="0"/>
              <w:right w:val="single" w:color="000000" w:sz="4" w:space="0"/>
            </w:tcBorders>
          </w:tcPr>
          <w:p>
            <w:pPr>
              <w:pStyle w:val="19"/>
              <w:spacing w:before="199"/>
              <w:ind w:firstLine="0" w:firstLineChars="0"/>
              <w:jc w:val="both"/>
              <w:rPr>
                <w:rFonts w:ascii="宋体" w:hAnsi="宋体" w:eastAsia="宋体" w:cs="宋体"/>
                <w:sz w:val="24"/>
                <w:szCs w:val="24"/>
                <w:lang w:eastAsia="zh-CN"/>
              </w:rPr>
            </w:pPr>
            <w:r>
              <w:rPr>
                <w:rFonts w:hint="eastAsia" w:ascii="宋体" w:hAnsi="宋体" w:eastAsia="宋体" w:cs="宋体"/>
                <w:sz w:val="24"/>
                <w:szCs w:val="24"/>
                <w:lang w:eastAsia="zh-CN"/>
              </w:rPr>
              <w:t>（1）防溅入</w:t>
            </w:r>
          </w:p>
          <w:p>
            <w:pPr>
              <w:pStyle w:val="19"/>
              <w:spacing w:before="135"/>
              <w:ind w:firstLine="0" w:firstLineChars="0"/>
              <w:jc w:val="both"/>
              <w:rPr>
                <w:rFonts w:ascii="宋体" w:hAnsi="宋体" w:eastAsia="宋体" w:cs="宋体"/>
                <w:sz w:val="24"/>
                <w:szCs w:val="24"/>
                <w:lang w:eastAsia="zh-CN"/>
              </w:rPr>
            </w:pPr>
            <w:r>
              <w:rPr>
                <w:rFonts w:hint="eastAsia" w:ascii="宋体" w:hAnsi="宋体" w:eastAsia="宋体" w:cs="宋体"/>
                <w:sz w:val="24"/>
                <w:szCs w:val="24"/>
                <w:lang w:eastAsia="zh-CN"/>
              </w:rPr>
              <w:t>（2）近视镜可替代</w:t>
            </w:r>
          </w:p>
        </w:tc>
      </w:tr>
      <w:tr>
        <w:tblPrEx>
          <w:tblCellMar>
            <w:top w:w="0" w:type="dxa"/>
            <w:left w:w="0" w:type="dxa"/>
            <w:bottom w:w="0" w:type="dxa"/>
            <w:right w:w="0" w:type="dxa"/>
          </w:tblCellMar>
        </w:tblPrEx>
        <w:trPr>
          <w:trHeight w:val="1570" w:hRule="exact"/>
        </w:trPr>
        <w:tc>
          <w:tcPr>
            <w:tcW w:w="1698" w:type="pct"/>
            <w:tcBorders>
              <w:top w:val="single" w:color="000000" w:sz="4" w:space="0"/>
              <w:left w:val="single" w:color="000000" w:sz="4" w:space="0"/>
              <w:bottom w:val="single" w:color="000000" w:sz="4" w:space="0"/>
              <w:right w:val="single" w:color="000000" w:sz="4" w:space="0"/>
            </w:tcBorders>
            <w:vAlign w:val="center"/>
          </w:tcPr>
          <w:p>
            <w:pPr>
              <w:pStyle w:val="19"/>
              <w:ind w:firstLine="0" w:firstLineChars="0"/>
              <w:jc w:val="center"/>
              <w:rPr>
                <w:rFonts w:ascii="宋体" w:hAnsi="宋体" w:eastAsia="宋体" w:cs="宋体"/>
                <w:sz w:val="24"/>
                <w:szCs w:val="24"/>
              </w:rPr>
            </w:pPr>
            <w:r>
              <w:rPr>
                <w:rFonts w:hint="eastAsia" w:ascii="宋体" w:hAnsi="宋体" w:eastAsia="宋体" w:cs="宋体"/>
                <w:sz w:val="24"/>
                <w:szCs w:val="24"/>
              </w:rPr>
              <w:t>呼吸道的防护</w:t>
            </w:r>
          </w:p>
        </w:tc>
        <w:tc>
          <w:tcPr>
            <w:tcW w:w="1700" w:type="pct"/>
            <w:tcBorders>
              <w:top w:val="single" w:color="000000" w:sz="4" w:space="0"/>
              <w:left w:val="single" w:color="000000" w:sz="4" w:space="0"/>
              <w:bottom w:val="single" w:color="000000" w:sz="4" w:space="0"/>
              <w:right w:val="single" w:color="000000" w:sz="4" w:space="0"/>
            </w:tcBorders>
          </w:tcPr>
          <w:p>
            <w:pPr>
              <w:pStyle w:val="19"/>
              <w:ind w:firstLine="0" w:firstLineChars="0"/>
              <w:jc w:val="center"/>
              <w:rPr>
                <w:rFonts w:ascii="宋体" w:hAnsi="宋体" w:eastAsia="宋体" w:cs="宋体"/>
                <w:sz w:val="24"/>
                <w:szCs w:val="24"/>
              </w:rPr>
            </w:pPr>
            <w:r>
              <w:rPr>
                <w:rFonts w:hint="eastAsia" w:ascii="宋体" w:hAnsi="宋体" w:eastAsia="宋体" w:cs="宋体"/>
                <w:position w:val="-26"/>
                <w:sz w:val="24"/>
                <w:szCs w:val="24"/>
                <w:lang w:eastAsia="zh-CN"/>
              </w:rPr>
              <w:drawing>
                <wp:anchor distT="0" distB="0" distL="0" distR="0" simplePos="0" relativeHeight="251660288" behindDoc="0" locked="0" layoutInCell="1" allowOverlap="1">
                  <wp:simplePos x="0" y="0"/>
                  <wp:positionH relativeFrom="column">
                    <wp:posOffset>487680</wp:posOffset>
                  </wp:positionH>
                  <wp:positionV relativeFrom="paragraph">
                    <wp:posOffset>63500</wp:posOffset>
                  </wp:positionV>
                  <wp:extent cx="898525" cy="848360"/>
                  <wp:effectExtent l="0" t="0" r="15875" b="8890"/>
                  <wp:wrapTopAndBottom/>
                  <wp:docPr id="7" name="image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6.jpeg"/>
                          <pic:cNvPicPr>
                            <a:picLocks noChangeAspect="1"/>
                          </pic:cNvPicPr>
                        </pic:nvPicPr>
                        <pic:blipFill>
                          <a:blip r:embed="rId18" cstate="print"/>
                          <a:stretch>
                            <a:fillRect/>
                          </a:stretch>
                        </pic:blipFill>
                        <pic:spPr>
                          <a:xfrm>
                            <a:off x="0" y="0"/>
                            <a:ext cx="899011" cy="848677"/>
                          </a:xfrm>
                          <a:prstGeom prst="rect">
                            <a:avLst/>
                          </a:prstGeom>
                        </pic:spPr>
                      </pic:pic>
                    </a:graphicData>
                  </a:graphic>
                </wp:anchor>
              </w:drawing>
            </w:r>
          </w:p>
        </w:tc>
        <w:tc>
          <w:tcPr>
            <w:tcW w:w="1602" w:type="pct"/>
            <w:tcBorders>
              <w:top w:val="single" w:color="000000" w:sz="4" w:space="0"/>
              <w:left w:val="single" w:color="000000" w:sz="4" w:space="0"/>
              <w:bottom w:val="single" w:color="000000" w:sz="4" w:space="0"/>
              <w:right w:val="single" w:color="000000" w:sz="4" w:space="0"/>
            </w:tcBorders>
            <w:vAlign w:val="center"/>
          </w:tcPr>
          <w:p>
            <w:pPr>
              <w:pStyle w:val="19"/>
              <w:ind w:right="106" w:firstLine="500"/>
              <w:rPr>
                <w:rFonts w:ascii="宋体" w:hAnsi="宋体" w:eastAsia="宋体" w:cs="宋体"/>
                <w:sz w:val="24"/>
                <w:szCs w:val="24"/>
                <w:lang w:eastAsia="zh-CN"/>
              </w:rPr>
            </w:pPr>
            <w:r>
              <w:rPr>
                <w:rFonts w:hint="eastAsia" w:ascii="宋体" w:hAnsi="宋体" w:eastAsia="宋体" w:cs="宋体"/>
                <w:spacing w:val="10"/>
                <w:sz w:val="24"/>
                <w:szCs w:val="24"/>
                <w:lang w:eastAsia="zh-CN"/>
              </w:rPr>
              <w:t>防止吸入金属粉尘和油漆</w:t>
            </w:r>
            <w:r>
              <w:rPr>
                <w:rFonts w:hint="eastAsia" w:ascii="宋体" w:hAnsi="宋体" w:eastAsia="宋体" w:cs="宋体"/>
                <w:sz w:val="24"/>
                <w:szCs w:val="24"/>
                <w:lang w:eastAsia="zh-CN"/>
              </w:rPr>
              <w:t>粉末</w:t>
            </w:r>
          </w:p>
        </w:tc>
      </w:tr>
    </w:tbl>
    <w:p>
      <w:pPr>
        <w:pStyle w:val="4"/>
        <w:ind w:firstLine="643"/>
        <w:rPr>
          <w:sz w:val="32"/>
          <w:lang w:eastAsia="zh-CN"/>
        </w:rPr>
      </w:pPr>
      <w:bookmarkStart w:id="58" w:name="（二）禁止携带易燃易爆物品"/>
      <w:bookmarkEnd w:id="58"/>
      <w:bookmarkStart w:id="59" w:name="_Toc1720"/>
      <w:r>
        <w:rPr>
          <w:sz w:val="32"/>
          <w:lang w:eastAsia="zh-CN"/>
        </w:rPr>
        <w:t>（二）禁止携带易燃易爆物品</w:t>
      </w:r>
      <w:bookmarkEnd w:id="59"/>
    </w:p>
    <w:p>
      <w:pPr>
        <w:pStyle w:val="5"/>
        <w:ind w:firstLine="640"/>
        <w:rPr>
          <w:sz w:val="32"/>
          <w:lang w:eastAsia="zh-CN"/>
        </w:rPr>
      </w:pPr>
      <w:r>
        <w:rPr>
          <w:sz w:val="32"/>
          <w:lang w:eastAsia="zh-CN"/>
        </w:rPr>
        <w:t>参赛选手禁止携带易燃、易爆、有毒物品，如</w:t>
      </w:r>
      <w:r>
        <w:rPr>
          <w:rFonts w:hint="eastAsia"/>
          <w:sz w:val="32"/>
          <w:lang w:eastAsia="zh-CN"/>
        </w:rPr>
        <w:t>下</w:t>
      </w:r>
      <w:r>
        <w:rPr>
          <w:sz w:val="32"/>
          <w:lang w:eastAsia="zh-CN"/>
        </w:rPr>
        <w:t>表所示。</w:t>
      </w:r>
    </w:p>
    <w:tbl>
      <w:tblPr>
        <w:tblStyle w:val="17"/>
        <w:tblpPr w:leftFromText="181" w:rightFromText="181" w:bottomFromText="283" w:vertAnchor="text" w:tblpY="1"/>
        <w:tblOverlap w:val="never"/>
        <w:tblW w:w="4998" w:type="pct"/>
        <w:tblInd w:w="0" w:type="dxa"/>
        <w:tblLayout w:type="autofit"/>
        <w:tblCellMar>
          <w:top w:w="0" w:type="dxa"/>
          <w:left w:w="0" w:type="dxa"/>
          <w:bottom w:w="0" w:type="dxa"/>
          <w:right w:w="0" w:type="dxa"/>
        </w:tblCellMar>
      </w:tblPr>
      <w:tblGrid>
        <w:gridCol w:w="3023"/>
        <w:gridCol w:w="3036"/>
        <w:gridCol w:w="3023"/>
      </w:tblGrid>
      <w:tr>
        <w:tblPrEx>
          <w:tblCellMar>
            <w:top w:w="0" w:type="dxa"/>
            <w:left w:w="0" w:type="dxa"/>
            <w:bottom w:w="0" w:type="dxa"/>
            <w:right w:w="0" w:type="dxa"/>
          </w:tblCellMar>
        </w:tblPrEx>
        <w:trPr>
          <w:trHeight w:val="578" w:hRule="exact"/>
        </w:trPr>
        <w:tc>
          <w:tcPr>
            <w:tcW w:w="1664" w:type="pct"/>
            <w:tcBorders>
              <w:top w:val="single" w:color="000000" w:sz="4" w:space="0"/>
              <w:left w:val="single" w:color="000000" w:sz="4" w:space="0"/>
              <w:bottom w:val="single" w:color="000000" w:sz="4" w:space="0"/>
              <w:right w:val="single" w:color="000000" w:sz="4" w:space="0"/>
            </w:tcBorders>
            <w:vAlign w:val="center"/>
          </w:tcPr>
          <w:p>
            <w:pPr>
              <w:pStyle w:val="19"/>
              <w:spacing w:before="41"/>
              <w:ind w:right="1" w:firstLine="482"/>
              <w:jc w:val="center"/>
              <w:rPr>
                <w:rFonts w:ascii="宋体" w:hAnsi="宋体" w:eastAsia="宋体" w:cs="宋体"/>
                <w:sz w:val="24"/>
                <w:szCs w:val="24"/>
              </w:rPr>
            </w:pPr>
            <w:r>
              <w:rPr>
                <w:rFonts w:hint="eastAsia" w:ascii="宋体" w:hAnsi="宋体" w:eastAsia="宋体" w:cs="宋体"/>
                <w:b/>
                <w:bCs/>
                <w:sz w:val="24"/>
                <w:szCs w:val="24"/>
              </w:rPr>
              <w:t>有害物品</w:t>
            </w:r>
          </w:p>
        </w:tc>
        <w:tc>
          <w:tcPr>
            <w:tcW w:w="1671" w:type="pct"/>
            <w:tcBorders>
              <w:top w:val="single" w:color="000000" w:sz="4" w:space="0"/>
              <w:left w:val="single" w:color="000000" w:sz="4" w:space="0"/>
              <w:bottom w:val="single" w:color="000000" w:sz="4" w:space="0"/>
              <w:right w:val="single" w:color="000000" w:sz="4" w:space="0"/>
            </w:tcBorders>
            <w:vAlign w:val="center"/>
          </w:tcPr>
          <w:p>
            <w:pPr>
              <w:pStyle w:val="19"/>
              <w:spacing w:before="41"/>
              <w:ind w:firstLine="482"/>
              <w:jc w:val="center"/>
              <w:rPr>
                <w:rFonts w:ascii="宋体" w:hAnsi="宋体" w:eastAsia="宋体" w:cs="宋体"/>
                <w:sz w:val="24"/>
                <w:szCs w:val="24"/>
              </w:rPr>
            </w:pPr>
            <w:r>
              <w:rPr>
                <w:rFonts w:hint="eastAsia" w:ascii="宋体" w:hAnsi="宋体" w:eastAsia="宋体" w:cs="宋体"/>
                <w:b/>
                <w:bCs/>
                <w:sz w:val="24"/>
                <w:szCs w:val="24"/>
              </w:rPr>
              <w:t>图示</w:t>
            </w:r>
          </w:p>
        </w:tc>
        <w:tc>
          <w:tcPr>
            <w:tcW w:w="1664" w:type="pct"/>
            <w:tcBorders>
              <w:top w:val="single" w:color="000000" w:sz="4" w:space="0"/>
              <w:left w:val="single" w:color="000000" w:sz="4" w:space="0"/>
              <w:bottom w:val="single" w:color="000000" w:sz="4" w:space="0"/>
              <w:right w:val="single" w:color="000000" w:sz="4" w:space="0"/>
            </w:tcBorders>
            <w:vAlign w:val="center"/>
          </w:tcPr>
          <w:p>
            <w:pPr>
              <w:pStyle w:val="19"/>
              <w:spacing w:before="41"/>
              <w:ind w:right="1" w:firstLine="482"/>
              <w:jc w:val="center"/>
              <w:rPr>
                <w:rFonts w:ascii="宋体" w:hAnsi="宋体" w:eastAsia="宋体" w:cs="宋体"/>
                <w:sz w:val="24"/>
                <w:szCs w:val="24"/>
              </w:rPr>
            </w:pPr>
            <w:r>
              <w:rPr>
                <w:rFonts w:hint="eastAsia" w:ascii="宋体" w:hAnsi="宋体" w:eastAsia="宋体" w:cs="宋体"/>
                <w:b/>
                <w:bCs/>
                <w:sz w:val="24"/>
                <w:szCs w:val="24"/>
              </w:rPr>
              <w:t>说明</w:t>
            </w:r>
          </w:p>
        </w:tc>
      </w:tr>
      <w:tr>
        <w:tblPrEx>
          <w:tblCellMar>
            <w:top w:w="0" w:type="dxa"/>
            <w:left w:w="0" w:type="dxa"/>
            <w:bottom w:w="0" w:type="dxa"/>
            <w:right w:w="0" w:type="dxa"/>
          </w:tblCellMar>
        </w:tblPrEx>
        <w:tc>
          <w:tcPr>
            <w:tcW w:w="1664" w:type="pct"/>
            <w:tcBorders>
              <w:top w:val="single" w:color="000000" w:sz="4" w:space="0"/>
              <w:left w:val="single" w:color="000000" w:sz="4" w:space="0"/>
              <w:bottom w:val="single" w:color="000000" w:sz="4" w:space="0"/>
              <w:right w:val="single" w:color="000000" w:sz="4" w:space="0"/>
            </w:tcBorders>
            <w:vAlign w:val="center"/>
          </w:tcPr>
          <w:p>
            <w:pPr>
              <w:pStyle w:val="19"/>
              <w:spacing w:before="41"/>
              <w:ind w:right="1" w:firstLine="480"/>
              <w:jc w:val="center"/>
              <w:rPr>
                <w:rFonts w:ascii="宋体" w:hAnsi="宋体" w:eastAsia="宋体" w:cs="宋体"/>
                <w:b/>
                <w:bCs/>
                <w:sz w:val="24"/>
                <w:szCs w:val="24"/>
              </w:rPr>
            </w:pPr>
            <w:r>
              <w:rPr>
                <w:rFonts w:hint="eastAsia" w:ascii="宋体" w:hAnsi="宋体" w:eastAsia="宋体" w:cs="宋体"/>
                <w:sz w:val="24"/>
                <w:szCs w:val="24"/>
              </w:rPr>
              <w:t>防锈清洗剂</w:t>
            </w:r>
          </w:p>
        </w:tc>
        <w:tc>
          <w:tcPr>
            <w:tcW w:w="1671" w:type="pct"/>
            <w:tcBorders>
              <w:top w:val="single" w:color="000000" w:sz="4" w:space="0"/>
              <w:left w:val="single" w:color="000000" w:sz="4" w:space="0"/>
              <w:bottom w:val="single" w:color="000000" w:sz="4" w:space="0"/>
              <w:right w:val="single" w:color="000000" w:sz="4" w:space="0"/>
            </w:tcBorders>
          </w:tcPr>
          <w:p>
            <w:pPr>
              <w:pStyle w:val="19"/>
              <w:spacing w:before="41"/>
              <w:ind w:firstLine="480"/>
              <w:jc w:val="center"/>
              <w:rPr>
                <w:rFonts w:ascii="宋体" w:hAnsi="宋体" w:eastAsia="宋体" w:cs="宋体"/>
                <w:b/>
                <w:bCs/>
                <w:sz w:val="24"/>
                <w:szCs w:val="24"/>
              </w:rPr>
            </w:pPr>
            <w:r>
              <w:rPr>
                <w:rFonts w:hint="eastAsia" w:ascii="宋体" w:hAnsi="宋体" w:eastAsia="宋体" w:cs="宋体"/>
                <w:position w:val="-26"/>
                <w:sz w:val="24"/>
                <w:szCs w:val="24"/>
                <w:lang w:eastAsia="zh-CN"/>
              </w:rPr>
              <w:drawing>
                <wp:anchor distT="0" distB="0" distL="0" distR="0" simplePos="0" relativeHeight="251663360" behindDoc="0" locked="0" layoutInCell="1" allowOverlap="1">
                  <wp:simplePos x="0" y="0"/>
                  <wp:positionH relativeFrom="column">
                    <wp:posOffset>779145</wp:posOffset>
                  </wp:positionH>
                  <wp:positionV relativeFrom="paragraph">
                    <wp:posOffset>50800</wp:posOffset>
                  </wp:positionV>
                  <wp:extent cx="450215" cy="854075"/>
                  <wp:effectExtent l="0" t="0" r="6985" b="3175"/>
                  <wp:wrapSquare wrapText="bothSides"/>
                  <wp:docPr id="11" name="imag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8.jpeg"/>
                          <pic:cNvPicPr>
                            <a:picLocks noChangeAspect="1"/>
                          </pic:cNvPicPr>
                        </pic:nvPicPr>
                        <pic:blipFill>
                          <a:blip r:embed="rId19" cstate="print"/>
                          <a:stretch>
                            <a:fillRect/>
                          </a:stretch>
                        </pic:blipFill>
                        <pic:spPr>
                          <a:xfrm>
                            <a:off x="0" y="0"/>
                            <a:ext cx="450682" cy="854392"/>
                          </a:xfrm>
                          <a:prstGeom prst="rect">
                            <a:avLst/>
                          </a:prstGeom>
                        </pic:spPr>
                      </pic:pic>
                    </a:graphicData>
                  </a:graphic>
                </wp:anchor>
              </w:drawing>
            </w:r>
          </w:p>
        </w:tc>
        <w:tc>
          <w:tcPr>
            <w:tcW w:w="1664" w:type="pct"/>
            <w:tcBorders>
              <w:top w:val="single" w:color="000000" w:sz="4" w:space="0"/>
              <w:left w:val="single" w:color="000000" w:sz="4" w:space="0"/>
              <w:bottom w:val="single" w:color="000000" w:sz="4" w:space="0"/>
              <w:right w:val="single" w:color="000000" w:sz="4" w:space="0"/>
            </w:tcBorders>
            <w:vAlign w:val="center"/>
          </w:tcPr>
          <w:p>
            <w:pPr>
              <w:pStyle w:val="19"/>
              <w:spacing w:before="41"/>
              <w:ind w:right="1" w:firstLine="0" w:firstLineChars="0"/>
              <w:jc w:val="center"/>
              <w:rPr>
                <w:rFonts w:ascii="宋体" w:hAnsi="宋体" w:eastAsia="宋体" w:cs="宋体"/>
                <w:b/>
                <w:bCs/>
                <w:sz w:val="24"/>
                <w:szCs w:val="24"/>
              </w:rPr>
            </w:pPr>
            <w:r>
              <w:rPr>
                <w:rFonts w:hint="eastAsia" w:ascii="宋体" w:hAnsi="宋体" w:eastAsia="宋体" w:cs="宋体"/>
                <w:sz w:val="24"/>
                <w:szCs w:val="24"/>
              </w:rPr>
              <w:t>禁止携带</w:t>
            </w:r>
          </w:p>
        </w:tc>
      </w:tr>
      <w:tr>
        <w:tblPrEx>
          <w:tblCellMar>
            <w:top w:w="0" w:type="dxa"/>
            <w:left w:w="0" w:type="dxa"/>
            <w:bottom w:w="0" w:type="dxa"/>
            <w:right w:w="0" w:type="dxa"/>
          </w:tblCellMar>
        </w:tblPrEx>
        <w:trPr>
          <w:trHeight w:val="1536" w:hRule="atLeast"/>
        </w:trPr>
        <w:tc>
          <w:tcPr>
            <w:tcW w:w="1664" w:type="pct"/>
            <w:tcBorders>
              <w:top w:val="single" w:color="000000" w:sz="4" w:space="0"/>
              <w:left w:val="single" w:color="000000" w:sz="4" w:space="0"/>
              <w:bottom w:val="single" w:color="000000" w:sz="4" w:space="0"/>
              <w:right w:val="single" w:color="000000" w:sz="4" w:space="0"/>
            </w:tcBorders>
            <w:vAlign w:val="center"/>
          </w:tcPr>
          <w:p>
            <w:pPr>
              <w:pStyle w:val="19"/>
              <w:ind w:right="1" w:firstLine="0" w:firstLineChars="0"/>
              <w:jc w:val="center"/>
              <w:rPr>
                <w:rFonts w:ascii="宋体" w:hAnsi="宋体" w:eastAsia="宋体" w:cs="宋体"/>
                <w:sz w:val="24"/>
                <w:szCs w:val="24"/>
              </w:rPr>
            </w:pPr>
            <w:r>
              <w:rPr>
                <w:rFonts w:hint="eastAsia" w:ascii="宋体" w:hAnsi="宋体" w:eastAsia="宋体" w:cs="宋体"/>
                <w:sz w:val="24"/>
                <w:szCs w:val="24"/>
              </w:rPr>
              <w:t>酒精</w:t>
            </w:r>
          </w:p>
        </w:tc>
        <w:tc>
          <w:tcPr>
            <w:tcW w:w="1671" w:type="pct"/>
            <w:tcBorders>
              <w:top w:val="single" w:color="000000" w:sz="4" w:space="0"/>
              <w:left w:val="single" w:color="000000" w:sz="4" w:space="0"/>
              <w:bottom w:val="single" w:color="000000" w:sz="4" w:space="0"/>
              <w:right w:val="single" w:color="000000" w:sz="4" w:space="0"/>
            </w:tcBorders>
          </w:tcPr>
          <w:p>
            <w:pPr>
              <w:pStyle w:val="19"/>
              <w:ind w:firstLine="0" w:firstLineChars="0"/>
              <w:rPr>
                <w:rFonts w:ascii="宋体" w:hAnsi="宋体" w:eastAsia="宋体" w:cs="宋体"/>
                <w:sz w:val="24"/>
                <w:szCs w:val="24"/>
                <w:lang w:eastAsia="zh-CN"/>
              </w:rPr>
            </w:pPr>
            <w:r>
              <w:rPr>
                <w:rFonts w:hint="eastAsia" w:ascii="宋体" w:hAnsi="宋体" w:eastAsia="宋体" w:cs="宋体"/>
                <w:position w:val="-27"/>
                <w:sz w:val="24"/>
                <w:szCs w:val="24"/>
                <w:lang w:eastAsia="zh-CN"/>
              </w:rPr>
              <w:drawing>
                <wp:anchor distT="0" distB="0" distL="0" distR="0" simplePos="0" relativeHeight="251662336" behindDoc="0" locked="0" layoutInCell="1" allowOverlap="1">
                  <wp:simplePos x="0" y="0"/>
                  <wp:positionH relativeFrom="column">
                    <wp:posOffset>780415</wp:posOffset>
                  </wp:positionH>
                  <wp:positionV relativeFrom="paragraph">
                    <wp:posOffset>44450</wp:posOffset>
                  </wp:positionV>
                  <wp:extent cx="450215" cy="892810"/>
                  <wp:effectExtent l="0" t="0" r="6985" b="2540"/>
                  <wp:wrapSquare wrapText="bothSides"/>
                  <wp:docPr id="8" name="image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9.jpeg"/>
                          <pic:cNvPicPr>
                            <a:picLocks noChangeAspect="1"/>
                          </pic:cNvPicPr>
                        </pic:nvPicPr>
                        <pic:blipFill>
                          <a:blip r:embed="rId20" cstate="print"/>
                          <a:stretch>
                            <a:fillRect/>
                          </a:stretch>
                        </pic:blipFill>
                        <pic:spPr>
                          <a:xfrm>
                            <a:off x="0" y="0"/>
                            <a:ext cx="450784" cy="893349"/>
                          </a:xfrm>
                          <a:prstGeom prst="rect">
                            <a:avLst/>
                          </a:prstGeom>
                        </pic:spPr>
                      </pic:pic>
                    </a:graphicData>
                  </a:graphic>
                </wp:anchor>
              </w:drawing>
            </w:r>
          </w:p>
        </w:tc>
        <w:tc>
          <w:tcPr>
            <w:tcW w:w="1664" w:type="pct"/>
            <w:tcBorders>
              <w:top w:val="single" w:color="000000" w:sz="4" w:space="0"/>
              <w:left w:val="single" w:color="000000" w:sz="4" w:space="0"/>
              <w:bottom w:val="single" w:color="000000" w:sz="4" w:space="0"/>
              <w:right w:val="single" w:color="000000" w:sz="4" w:space="0"/>
            </w:tcBorders>
            <w:vAlign w:val="center"/>
          </w:tcPr>
          <w:p>
            <w:pPr>
              <w:pStyle w:val="19"/>
              <w:ind w:right="5" w:firstLine="0" w:firstLineChars="0"/>
              <w:jc w:val="center"/>
              <w:rPr>
                <w:rFonts w:ascii="宋体" w:hAnsi="宋体" w:eastAsia="宋体" w:cs="宋体"/>
                <w:sz w:val="24"/>
                <w:szCs w:val="24"/>
              </w:rPr>
            </w:pPr>
            <w:r>
              <w:rPr>
                <w:rFonts w:hint="eastAsia" w:ascii="宋体" w:hAnsi="宋体" w:eastAsia="宋体" w:cs="宋体"/>
                <w:sz w:val="24"/>
                <w:szCs w:val="24"/>
              </w:rPr>
              <w:t>禁止携带</w:t>
            </w:r>
          </w:p>
        </w:tc>
      </w:tr>
      <w:tr>
        <w:tblPrEx>
          <w:tblCellMar>
            <w:top w:w="0" w:type="dxa"/>
            <w:left w:w="0" w:type="dxa"/>
            <w:bottom w:w="0" w:type="dxa"/>
            <w:right w:w="0" w:type="dxa"/>
          </w:tblCellMar>
        </w:tblPrEx>
        <w:trPr>
          <w:trHeight w:val="1626" w:hRule="atLeast"/>
        </w:trPr>
        <w:tc>
          <w:tcPr>
            <w:tcW w:w="1664" w:type="pct"/>
            <w:tcBorders>
              <w:top w:val="single" w:color="000000" w:sz="4" w:space="0"/>
              <w:left w:val="single" w:color="000000" w:sz="4" w:space="0"/>
              <w:bottom w:val="single" w:color="000000" w:sz="4" w:space="0"/>
              <w:right w:val="single" w:color="000000" w:sz="4" w:space="0"/>
            </w:tcBorders>
            <w:vAlign w:val="center"/>
          </w:tcPr>
          <w:p>
            <w:pPr>
              <w:pStyle w:val="19"/>
              <w:ind w:right="1" w:firstLine="0" w:firstLineChars="0"/>
              <w:jc w:val="center"/>
              <w:rPr>
                <w:rFonts w:ascii="宋体" w:hAnsi="宋体" w:eastAsia="宋体" w:cs="宋体"/>
                <w:sz w:val="24"/>
                <w:szCs w:val="24"/>
              </w:rPr>
            </w:pPr>
            <w:r>
              <w:rPr>
                <w:rFonts w:hint="eastAsia" w:ascii="宋体" w:hAnsi="宋体" w:eastAsia="宋体" w:cs="宋体"/>
                <w:sz w:val="24"/>
                <w:szCs w:val="24"/>
              </w:rPr>
              <w:t>汽油</w:t>
            </w:r>
          </w:p>
        </w:tc>
        <w:tc>
          <w:tcPr>
            <w:tcW w:w="1671" w:type="pct"/>
            <w:tcBorders>
              <w:top w:val="single" w:color="000000" w:sz="4" w:space="0"/>
              <w:left w:val="single" w:color="000000" w:sz="4" w:space="0"/>
              <w:bottom w:val="single" w:color="000000" w:sz="4" w:space="0"/>
              <w:right w:val="single" w:color="000000" w:sz="4" w:space="0"/>
            </w:tcBorders>
          </w:tcPr>
          <w:p>
            <w:pPr>
              <w:pStyle w:val="19"/>
              <w:ind w:left="738" w:firstLine="480"/>
              <w:rPr>
                <w:rFonts w:ascii="宋体" w:hAnsi="宋体" w:eastAsia="宋体" w:cs="宋体"/>
                <w:sz w:val="24"/>
                <w:szCs w:val="24"/>
                <w:lang w:eastAsia="zh-CN"/>
              </w:rPr>
            </w:pPr>
            <w:r>
              <w:rPr>
                <w:rFonts w:hint="eastAsia" w:ascii="宋体" w:hAnsi="宋体" w:eastAsia="宋体" w:cs="宋体"/>
                <w:position w:val="-26"/>
                <w:sz w:val="24"/>
                <w:szCs w:val="24"/>
                <w:lang w:eastAsia="zh-CN"/>
              </w:rPr>
              <w:drawing>
                <wp:anchor distT="0" distB="0" distL="0" distR="0" simplePos="0" relativeHeight="251664384" behindDoc="0" locked="0" layoutInCell="1" allowOverlap="1">
                  <wp:simplePos x="0" y="0"/>
                  <wp:positionH relativeFrom="column">
                    <wp:posOffset>544830</wp:posOffset>
                  </wp:positionH>
                  <wp:positionV relativeFrom="paragraph">
                    <wp:posOffset>101600</wp:posOffset>
                  </wp:positionV>
                  <wp:extent cx="945515" cy="848360"/>
                  <wp:effectExtent l="0" t="0" r="6985" b="8890"/>
                  <wp:wrapSquare wrapText="bothSides"/>
                  <wp:docPr id="10" name="image1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0.jpeg"/>
                          <pic:cNvPicPr>
                            <a:picLocks noChangeAspect="1"/>
                          </pic:cNvPicPr>
                        </pic:nvPicPr>
                        <pic:blipFill>
                          <a:blip r:embed="rId21" cstate="print"/>
                          <a:stretch>
                            <a:fillRect/>
                          </a:stretch>
                        </pic:blipFill>
                        <pic:spPr>
                          <a:xfrm>
                            <a:off x="0" y="0"/>
                            <a:ext cx="945578" cy="848677"/>
                          </a:xfrm>
                          <a:prstGeom prst="rect">
                            <a:avLst/>
                          </a:prstGeom>
                        </pic:spPr>
                      </pic:pic>
                    </a:graphicData>
                  </a:graphic>
                </wp:anchor>
              </w:drawing>
            </w:r>
          </w:p>
        </w:tc>
        <w:tc>
          <w:tcPr>
            <w:tcW w:w="1664" w:type="pct"/>
            <w:tcBorders>
              <w:top w:val="single" w:color="000000" w:sz="4" w:space="0"/>
              <w:left w:val="single" w:color="000000" w:sz="4" w:space="0"/>
              <w:bottom w:val="single" w:color="000000" w:sz="4" w:space="0"/>
              <w:right w:val="single" w:color="000000" w:sz="4" w:space="0"/>
            </w:tcBorders>
            <w:vAlign w:val="center"/>
          </w:tcPr>
          <w:p>
            <w:pPr>
              <w:pStyle w:val="19"/>
              <w:ind w:right="5" w:firstLine="0" w:firstLineChars="0"/>
              <w:jc w:val="center"/>
              <w:rPr>
                <w:rFonts w:ascii="宋体" w:hAnsi="宋体" w:eastAsia="宋体" w:cs="宋体"/>
                <w:sz w:val="24"/>
                <w:szCs w:val="24"/>
              </w:rPr>
            </w:pPr>
            <w:r>
              <w:rPr>
                <w:rFonts w:hint="eastAsia" w:ascii="宋体" w:hAnsi="宋体" w:eastAsia="宋体" w:cs="宋体"/>
                <w:sz w:val="24"/>
                <w:szCs w:val="24"/>
              </w:rPr>
              <w:t>禁止携带</w:t>
            </w:r>
          </w:p>
        </w:tc>
      </w:tr>
      <w:tr>
        <w:tblPrEx>
          <w:tblCellMar>
            <w:top w:w="0" w:type="dxa"/>
            <w:left w:w="0" w:type="dxa"/>
            <w:bottom w:w="0" w:type="dxa"/>
            <w:right w:w="0" w:type="dxa"/>
          </w:tblCellMar>
        </w:tblPrEx>
        <w:trPr>
          <w:trHeight w:val="1148" w:hRule="atLeast"/>
        </w:trPr>
        <w:tc>
          <w:tcPr>
            <w:tcW w:w="1664" w:type="pct"/>
            <w:tcBorders>
              <w:top w:val="single" w:color="000000" w:sz="4" w:space="0"/>
              <w:left w:val="single" w:color="000000" w:sz="4" w:space="0"/>
              <w:bottom w:val="single" w:color="000000" w:sz="4" w:space="0"/>
              <w:right w:val="single" w:color="000000" w:sz="4" w:space="0"/>
            </w:tcBorders>
            <w:vAlign w:val="center"/>
          </w:tcPr>
          <w:p>
            <w:pPr>
              <w:pStyle w:val="19"/>
              <w:ind w:firstLine="0" w:firstLineChars="0"/>
              <w:jc w:val="center"/>
              <w:rPr>
                <w:rFonts w:ascii="宋体" w:hAnsi="宋体" w:eastAsia="宋体" w:cs="宋体"/>
                <w:sz w:val="24"/>
                <w:szCs w:val="24"/>
              </w:rPr>
            </w:pPr>
            <w:r>
              <w:rPr>
                <w:rFonts w:hint="eastAsia" w:ascii="宋体" w:hAnsi="宋体" w:eastAsia="宋体" w:cs="宋体"/>
                <w:sz w:val="24"/>
                <w:szCs w:val="24"/>
              </w:rPr>
              <w:t>有毒有害物</w:t>
            </w:r>
          </w:p>
        </w:tc>
        <w:tc>
          <w:tcPr>
            <w:tcW w:w="1671" w:type="pct"/>
            <w:tcBorders>
              <w:top w:val="single" w:color="000000" w:sz="4" w:space="0"/>
              <w:left w:val="single" w:color="000000" w:sz="4" w:space="0"/>
              <w:bottom w:val="single" w:color="000000" w:sz="4" w:space="0"/>
              <w:right w:val="single" w:color="000000" w:sz="4" w:space="0"/>
            </w:tcBorders>
          </w:tcPr>
          <w:p>
            <w:pPr>
              <w:pStyle w:val="19"/>
              <w:ind w:left="534" w:firstLine="480"/>
              <w:rPr>
                <w:rFonts w:ascii="宋体" w:hAnsi="宋体" w:eastAsia="宋体" w:cs="宋体"/>
                <w:sz w:val="24"/>
                <w:szCs w:val="24"/>
                <w:lang w:eastAsia="zh-CN"/>
              </w:rPr>
            </w:pPr>
            <w:r>
              <w:rPr>
                <w:rFonts w:hint="eastAsia" w:ascii="宋体" w:hAnsi="宋体" w:eastAsia="宋体" w:cs="宋体"/>
                <w:position w:val="-19"/>
                <w:sz w:val="24"/>
                <w:szCs w:val="24"/>
                <w:lang w:eastAsia="zh-CN"/>
              </w:rPr>
              <w:drawing>
                <wp:anchor distT="0" distB="0" distL="0" distR="0" simplePos="0" relativeHeight="251665408" behindDoc="0" locked="0" layoutInCell="1" allowOverlap="1">
                  <wp:simplePos x="0" y="0"/>
                  <wp:positionH relativeFrom="column">
                    <wp:posOffset>425450</wp:posOffset>
                  </wp:positionH>
                  <wp:positionV relativeFrom="paragraph">
                    <wp:posOffset>69850</wp:posOffset>
                  </wp:positionV>
                  <wp:extent cx="1203960" cy="621030"/>
                  <wp:effectExtent l="0" t="0" r="15240" b="7620"/>
                  <wp:wrapSquare wrapText="bothSides"/>
                  <wp:docPr id="12" name="image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image11.jpeg"/>
                          <pic:cNvPicPr>
                            <a:picLocks noChangeAspect="1"/>
                          </pic:cNvPicPr>
                        </pic:nvPicPr>
                        <pic:blipFill>
                          <a:blip r:embed="rId22" cstate="print"/>
                          <a:stretch>
                            <a:fillRect/>
                          </a:stretch>
                        </pic:blipFill>
                        <pic:spPr>
                          <a:xfrm>
                            <a:off x="0" y="0"/>
                            <a:ext cx="1204405" cy="621506"/>
                          </a:xfrm>
                          <a:prstGeom prst="rect">
                            <a:avLst/>
                          </a:prstGeom>
                        </pic:spPr>
                      </pic:pic>
                    </a:graphicData>
                  </a:graphic>
                </wp:anchor>
              </w:drawing>
            </w:r>
          </w:p>
        </w:tc>
        <w:tc>
          <w:tcPr>
            <w:tcW w:w="1664" w:type="pct"/>
            <w:tcBorders>
              <w:top w:val="single" w:color="000000" w:sz="4" w:space="0"/>
              <w:left w:val="single" w:color="000000" w:sz="4" w:space="0"/>
              <w:bottom w:val="single" w:color="000000" w:sz="4" w:space="0"/>
              <w:right w:val="single" w:color="000000" w:sz="4" w:space="0"/>
            </w:tcBorders>
            <w:vAlign w:val="center"/>
          </w:tcPr>
          <w:p>
            <w:pPr>
              <w:pStyle w:val="19"/>
              <w:ind w:right="5" w:firstLine="0" w:firstLineChars="0"/>
              <w:jc w:val="center"/>
              <w:rPr>
                <w:rFonts w:ascii="宋体" w:hAnsi="宋体" w:eastAsia="宋体" w:cs="宋体"/>
                <w:sz w:val="24"/>
                <w:szCs w:val="24"/>
              </w:rPr>
            </w:pPr>
            <w:r>
              <w:rPr>
                <w:rFonts w:hint="eastAsia" w:ascii="宋体" w:hAnsi="宋体" w:eastAsia="宋体" w:cs="宋体"/>
                <w:sz w:val="24"/>
                <w:szCs w:val="24"/>
              </w:rPr>
              <w:t>禁止携带</w:t>
            </w:r>
          </w:p>
        </w:tc>
      </w:tr>
    </w:tbl>
    <w:p>
      <w:pPr>
        <w:pStyle w:val="4"/>
        <w:ind w:firstLine="643"/>
        <w:rPr>
          <w:sz w:val="32"/>
        </w:rPr>
      </w:pPr>
      <w:bookmarkStart w:id="60" w:name="（三）健康和安全操作"/>
      <w:bookmarkEnd w:id="60"/>
      <w:bookmarkStart w:id="61" w:name="_Toc11361"/>
      <w:r>
        <w:rPr>
          <w:sz w:val="32"/>
        </w:rPr>
        <w:t>（三）健康和安全操作</w:t>
      </w:r>
      <w:bookmarkEnd w:id="61"/>
    </w:p>
    <w:p>
      <w:pPr>
        <w:pStyle w:val="5"/>
        <w:ind w:firstLine="640"/>
        <w:rPr>
          <w:sz w:val="32"/>
          <w:lang w:eastAsia="zh-CN"/>
        </w:rPr>
      </w:pPr>
      <w:r>
        <w:rPr>
          <w:sz w:val="32"/>
          <w:lang w:eastAsia="zh-CN"/>
        </w:rPr>
        <w:t>1</w:t>
      </w:r>
      <w:r>
        <w:rPr>
          <w:rFonts w:hint="eastAsia"/>
          <w:sz w:val="32"/>
          <w:lang w:eastAsia="zh-CN"/>
        </w:rPr>
        <w:t>.</w:t>
      </w:r>
      <w:r>
        <w:rPr>
          <w:sz w:val="32"/>
          <w:lang w:eastAsia="zh-CN"/>
        </w:rPr>
        <w:t>严禁使用压缩空气吹出离合器、制动器周边粉尘，这些粉尘具有致癌作用。</w:t>
      </w:r>
    </w:p>
    <w:p>
      <w:pPr>
        <w:pStyle w:val="5"/>
        <w:ind w:firstLine="640"/>
        <w:rPr>
          <w:sz w:val="32"/>
          <w:lang w:eastAsia="zh-CN"/>
        </w:rPr>
      </w:pPr>
      <w:r>
        <w:rPr>
          <w:sz w:val="32"/>
          <w:lang w:eastAsia="zh-CN"/>
        </w:rPr>
        <w:t>2</w:t>
      </w:r>
      <w:r>
        <w:rPr>
          <w:rFonts w:hint="eastAsia"/>
          <w:sz w:val="32"/>
          <w:lang w:eastAsia="zh-CN"/>
        </w:rPr>
        <w:t>.</w:t>
      </w:r>
      <w:r>
        <w:rPr>
          <w:sz w:val="32"/>
          <w:lang w:eastAsia="zh-CN"/>
        </w:rPr>
        <w:t>更换后的制动液、冷却液、废旧机油等液体必须分类单独存放，并集中统一按照环保要求处理，不得随意倾倒。</w:t>
      </w:r>
    </w:p>
    <w:p>
      <w:pPr>
        <w:pStyle w:val="5"/>
        <w:ind w:firstLine="640"/>
        <w:rPr>
          <w:sz w:val="32"/>
          <w:lang w:eastAsia="zh-CN"/>
        </w:rPr>
      </w:pPr>
      <w:r>
        <w:rPr>
          <w:sz w:val="32"/>
          <w:lang w:eastAsia="zh-CN"/>
        </w:rPr>
        <w:t>3</w:t>
      </w:r>
      <w:r>
        <w:rPr>
          <w:rFonts w:hint="eastAsia"/>
          <w:sz w:val="32"/>
          <w:lang w:eastAsia="zh-CN"/>
        </w:rPr>
        <w:t>.</w:t>
      </w:r>
      <w:r>
        <w:rPr>
          <w:sz w:val="32"/>
          <w:lang w:eastAsia="zh-CN"/>
        </w:rPr>
        <w:t>维修车间内起动发动机前必须先开启废气抽排系统，并插好汽车废气抽排管。</w:t>
      </w:r>
    </w:p>
    <w:p>
      <w:pPr>
        <w:pStyle w:val="4"/>
        <w:ind w:firstLine="643"/>
        <w:rPr>
          <w:sz w:val="32"/>
          <w:lang w:eastAsia="zh-CN"/>
        </w:rPr>
      </w:pPr>
      <w:bookmarkStart w:id="62" w:name="（四）赛场通道"/>
      <w:bookmarkEnd w:id="62"/>
      <w:bookmarkStart w:id="63" w:name="_Toc28739"/>
      <w:r>
        <w:rPr>
          <w:sz w:val="32"/>
          <w:lang w:eastAsia="zh-CN"/>
        </w:rPr>
        <w:t>（四）赛场通道</w:t>
      </w:r>
      <w:bookmarkEnd w:id="63"/>
    </w:p>
    <w:p>
      <w:pPr>
        <w:pStyle w:val="5"/>
        <w:ind w:firstLine="640"/>
        <w:rPr>
          <w:sz w:val="32"/>
          <w:lang w:eastAsia="zh-CN"/>
        </w:rPr>
      </w:pPr>
      <w:r>
        <w:rPr>
          <w:sz w:val="32"/>
          <w:lang w:eastAsia="zh-CN"/>
        </w:rPr>
        <w:t>赛场必须留有安全通道，必须配备灭火设备。赛场应具备良好的通风、照明和操作空间的条件。做好竞赛安全、健康和公共卫生及突发事件预防与应急处理等工作。</w:t>
      </w:r>
    </w:p>
    <w:p>
      <w:pPr>
        <w:pStyle w:val="5"/>
        <w:ind w:firstLine="643"/>
        <w:outlineLvl w:val="1"/>
        <w:rPr>
          <w:rFonts w:ascii="楷体" w:hAnsi="楷体" w:eastAsia="楷体" w:cs="楷体"/>
          <w:b/>
          <w:bCs/>
          <w:sz w:val="32"/>
          <w:lang w:eastAsia="zh-CN"/>
        </w:rPr>
      </w:pPr>
      <w:bookmarkStart w:id="64" w:name="（五）赛场医药配备"/>
      <w:bookmarkEnd w:id="64"/>
      <w:bookmarkStart w:id="65" w:name="_Toc4152"/>
      <w:r>
        <w:rPr>
          <w:rFonts w:hint="eastAsia" w:ascii="楷体" w:hAnsi="楷体" w:eastAsia="楷体" w:cs="楷体"/>
          <w:b/>
          <w:bCs/>
          <w:sz w:val="32"/>
          <w:lang w:eastAsia="zh-CN"/>
        </w:rPr>
        <w:t>（五）赛场医药配备</w:t>
      </w:r>
      <w:bookmarkEnd w:id="65"/>
    </w:p>
    <w:p>
      <w:pPr>
        <w:pStyle w:val="5"/>
        <w:ind w:firstLine="640"/>
        <w:rPr>
          <w:sz w:val="32"/>
          <w:lang w:eastAsia="zh-CN"/>
        </w:rPr>
      </w:pPr>
      <w:r>
        <w:rPr>
          <w:sz w:val="32"/>
          <w:lang w:eastAsia="zh-CN"/>
        </w:rPr>
        <w:t>赛场必须配备医护人员和必须的药品。</w:t>
      </w:r>
    </w:p>
    <w:p>
      <w:pPr>
        <w:pStyle w:val="5"/>
        <w:ind w:firstLine="643"/>
        <w:outlineLvl w:val="1"/>
        <w:rPr>
          <w:rFonts w:ascii="楷体" w:hAnsi="楷体" w:eastAsia="楷体" w:cs="楷体"/>
          <w:b/>
          <w:bCs/>
          <w:sz w:val="32"/>
          <w:lang w:eastAsia="zh-CN"/>
        </w:rPr>
      </w:pPr>
      <w:bookmarkStart w:id="66" w:name="（六）环境保护"/>
      <w:bookmarkEnd w:id="66"/>
      <w:bookmarkStart w:id="67" w:name="_Toc3836"/>
      <w:r>
        <w:rPr>
          <w:rFonts w:hint="eastAsia" w:ascii="楷体" w:hAnsi="楷体" w:eastAsia="楷体" w:cs="楷体"/>
          <w:b/>
          <w:bCs/>
          <w:sz w:val="32"/>
          <w:lang w:eastAsia="zh-CN"/>
        </w:rPr>
        <w:t>（六）环境保护</w:t>
      </w:r>
      <w:bookmarkEnd w:id="67"/>
    </w:p>
    <w:p>
      <w:pPr>
        <w:pStyle w:val="5"/>
        <w:ind w:firstLine="640"/>
        <w:rPr>
          <w:sz w:val="32"/>
          <w:lang w:eastAsia="zh-CN"/>
        </w:rPr>
      </w:pPr>
      <w:r>
        <w:rPr>
          <w:sz w:val="32"/>
          <w:lang w:eastAsia="zh-CN"/>
        </w:rPr>
        <w:t>不破坏赛场周边环境。垃圾分类放置；废旧金属、塑料分类收集处理；废旧蓄电池必须回收处理，不得混入普通生活垃圾。所有可循环利用的材料都应分类处理和收集。</w:t>
      </w:r>
    </w:p>
    <w:p>
      <w:pPr>
        <w:pStyle w:val="5"/>
        <w:rPr>
          <w:rFonts w:cs="仿宋"/>
          <w:sz w:val="32"/>
          <w:lang w:eastAsia="zh-CN"/>
        </w:rPr>
      </w:pPr>
    </w:p>
    <w:p>
      <w:pPr>
        <w:rPr>
          <w:rFonts w:hint="eastAsia"/>
          <w:lang w:eastAsia="zh-CN"/>
        </w:rPr>
      </w:pPr>
      <w:r>
        <w:rPr>
          <w:rFonts w:hint="eastAsia"/>
          <w:lang w:eastAsia="zh-CN"/>
        </w:rPr>
        <w:t>附件1.</w:t>
      </w:r>
      <w:r>
        <w:rPr>
          <w:rFonts w:hint="eastAsia"/>
          <w:lang w:val="en-US" w:eastAsia="zh-CN"/>
        </w:rPr>
        <w:t>许昌市第一届职业技能大赛汽车技术赛项</w:t>
      </w:r>
      <w:r>
        <w:rPr>
          <w:rFonts w:hint="eastAsia"/>
          <w:lang w:eastAsia="zh-CN"/>
        </w:rPr>
        <w:t>模块A任务书</w:t>
      </w:r>
    </w:p>
    <w:p>
      <w:pPr>
        <w:rPr>
          <w:rFonts w:hint="eastAsia"/>
          <w:lang w:eastAsia="zh-CN"/>
        </w:rPr>
      </w:pPr>
      <w:r>
        <w:rPr>
          <w:rFonts w:hint="eastAsia"/>
          <w:lang w:eastAsia="zh-CN"/>
        </w:rPr>
        <w:t>附件2.</w:t>
      </w:r>
      <w:r>
        <w:rPr>
          <w:rFonts w:hint="eastAsia"/>
          <w:lang w:val="en-US" w:eastAsia="zh-CN"/>
        </w:rPr>
        <w:t>许昌市第一届职业技能大赛汽车技术赛项</w:t>
      </w:r>
      <w:r>
        <w:rPr>
          <w:rFonts w:hint="eastAsia"/>
          <w:lang w:eastAsia="zh-CN"/>
        </w:rPr>
        <w:t>模块B任务书</w:t>
      </w:r>
    </w:p>
    <w:p>
      <w:pPr>
        <w:rPr>
          <w:rFonts w:hint="default"/>
          <w:lang w:val="en-US" w:eastAsia="zh-CN"/>
        </w:rPr>
      </w:pPr>
      <w:r>
        <w:rPr>
          <w:rFonts w:hint="eastAsia"/>
          <w:lang w:eastAsia="zh-CN"/>
        </w:rPr>
        <w:t>附件3.</w:t>
      </w:r>
      <w:r>
        <w:rPr>
          <w:rFonts w:hint="eastAsia"/>
          <w:lang w:val="en-US" w:eastAsia="zh-CN"/>
        </w:rPr>
        <w:t>许昌市第一届职业技能大赛汽车技术赛项</w:t>
      </w:r>
      <w:r>
        <w:rPr>
          <w:rFonts w:hint="eastAsia"/>
          <w:lang w:eastAsia="zh-CN"/>
        </w:rPr>
        <w:t>模块A评分表</w:t>
      </w:r>
      <w:r>
        <w:rPr>
          <w:rFonts w:hint="eastAsia"/>
          <w:lang w:val="en-US" w:eastAsia="zh-CN"/>
        </w:rPr>
        <w:t>格式</w:t>
      </w:r>
    </w:p>
    <w:p>
      <w:pPr>
        <w:rPr>
          <w:rFonts w:hint="default"/>
          <w:lang w:val="en-US" w:eastAsia="zh-CN"/>
        </w:rPr>
      </w:pPr>
      <w:r>
        <w:rPr>
          <w:rFonts w:hint="eastAsia"/>
          <w:lang w:eastAsia="zh-CN"/>
        </w:rPr>
        <w:t>附件4.</w:t>
      </w:r>
      <w:r>
        <w:rPr>
          <w:rFonts w:hint="eastAsia"/>
          <w:lang w:val="en-US" w:eastAsia="zh-CN"/>
        </w:rPr>
        <w:t>许昌市第一届职业技能大赛汽车技术赛项</w:t>
      </w:r>
      <w:r>
        <w:rPr>
          <w:rFonts w:hint="eastAsia"/>
          <w:lang w:eastAsia="zh-CN"/>
        </w:rPr>
        <w:t>模块B评分表</w:t>
      </w:r>
      <w:r>
        <w:rPr>
          <w:rFonts w:hint="eastAsia"/>
          <w:lang w:val="en-US" w:eastAsia="zh-CN"/>
        </w:rPr>
        <w:t>样式</w:t>
      </w:r>
    </w:p>
    <w:sectPr>
      <w:footerReference r:id="rId11" w:type="default"/>
      <w:pgSz w:w="11910" w:h="16840"/>
      <w:pgMar w:top="1440" w:right="1417" w:bottom="1440" w:left="1417" w:header="0" w:footer="85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Inria Serif">
    <w:altName w:val="Segoe Print"/>
    <w:panose1 w:val="00000000000000000000"/>
    <w:charset w:val="00"/>
    <w:family w:val="auto"/>
    <w:pitch w:val="default"/>
    <w:sig w:usb0="00000000" w:usb1="00000000" w:usb2="00000000" w:usb3="00000000" w:csb0="00000001" w:csb1="00000000"/>
  </w:font>
  <w:font w:name="Times New Roman (Headings CS)">
    <w:altName w:val="Times New Roman"/>
    <w:panose1 w:val="00000000000000000000"/>
    <w:charset w:val="00"/>
    <w:family w:val="modern"/>
    <w:pitch w:val="default"/>
    <w:sig w:usb0="00000000" w:usb1="00000000" w:usb2="00000000" w:usb3="00000000" w:csb0="00000001" w:csb1="00000000"/>
  </w:font>
  <w:font w:name="LinTimes">
    <w:altName w:val="Segoe Print"/>
    <w:panose1 w:val="00000000000000000000"/>
    <w:charset w:val="00"/>
    <w:family w:val="auto"/>
    <w:pitch w:val="default"/>
    <w:sig w:usb0="00000000" w:usb1="00000000" w:usb2="00000008" w:usb3="00000000" w:csb0="400001FF" w:csb1="FFFF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swiss"/>
    <w:pitch w:val="default"/>
    <w:sig w:usb0="00000001" w:usb1="080E0000" w:usb2="00000000" w:usb3="00000000" w:csb0="0004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r>
      <w:pict>
        <v:shape id="_x0000_s2057" o:spid="_x0000_s205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8"/>
                  <w:ind w:firstLine="360"/>
                </w:pP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85208016"/>
      <w:docPartObj>
        <w:docPartGallery w:val="autotext"/>
      </w:docPartObj>
    </w:sdtPr>
    <w:sdtContent>
      <w:p>
        <w:pPr>
          <w:pStyle w:val="8"/>
          <w:ind w:firstLine="360"/>
          <w:jc w:val="center"/>
        </w:pPr>
        <w:r>
          <w:fldChar w:fldCharType="begin"/>
        </w:r>
        <w:r>
          <w:instrText xml:space="preserve">PAGE   \* MERGEFORMAT</w:instrText>
        </w:r>
        <w:r>
          <w:fldChar w:fldCharType="separate"/>
        </w:r>
        <w:r>
          <w:rPr>
            <w:lang w:val="zh-CN" w:eastAsia="zh-CN"/>
          </w:rPr>
          <w:t>2</w:t>
        </w:r>
        <w:r>
          <w:fldChar w:fldCharType="end"/>
        </w:r>
      </w:p>
    </w:sdtContent>
  </w:sdt>
  <w:p>
    <w:pPr>
      <w:spacing w:line="14" w:lineRule="auto"/>
      <w:ind w:firstLine="380"/>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560"/>
      </w:pPr>
      <w:r>
        <w:separator/>
      </w:r>
    </w:p>
  </w:footnote>
  <w:footnote w:type="continuationSeparator" w:id="1">
    <w:p>
      <w:pPr>
        <w:spacing w:line="36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5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ulTrailSpace/>
    <w:doNotExpandShiftReturn/>
    <w:doNotWrapTextWithPunct/>
    <w:doNotUseEastAsianBreakRules/>
    <w:useFELayout/>
    <w:doNotUseIndentAsNumberingTabStop/>
    <w:compatSetting w:name="compatibilityMode" w:uri="http://schemas.microsoft.com/office/word" w:val="12"/>
  </w:compat>
  <w:docVars>
    <w:docVar w:name="commondata" w:val="eyJoZGlkIjoiZGE2Mjg2YTZkZTMyMTYwY2M1OTQ5YzJlN2MyYmRjOGEifQ=="/>
    <w:docVar w:name="KSO_WPS_MARK_KEY" w:val="bb0acda7-cfda-4863-a6f9-9f5e9b1af10c"/>
  </w:docVars>
  <w:rsids>
    <w:rsidRoot w:val="00A171E7"/>
    <w:rsid w:val="000234BA"/>
    <w:rsid w:val="0005424B"/>
    <w:rsid w:val="00061F3E"/>
    <w:rsid w:val="000842D8"/>
    <w:rsid w:val="000A5ABA"/>
    <w:rsid w:val="000A747B"/>
    <w:rsid w:val="000D1A16"/>
    <w:rsid w:val="00106D39"/>
    <w:rsid w:val="00154376"/>
    <w:rsid w:val="001C35FD"/>
    <w:rsid w:val="001E4DCA"/>
    <w:rsid w:val="002156A7"/>
    <w:rsid w:val="002312C3"/>
    <w:rsid w:val="002324FA"/>
    <w:rsid w:val="0023257C"/>
    <w:rsid w:val="00261551"/>
    <w:rsid w:val="00282FEB"/>
    <w:rsid w:val="00310FA9"/>
    <w:rsid w:val="00315723"/>
    <w:rsid w:val="00430165"/>
    <w:rsid w:val="004554C5"/>
    <w:rsid w:val="0045693F"/>
    <w:rsid w:val="004D689C"/>
    <w:rsid w:val="004E7320"/>
    <w:rsid w:val="00584763"/>
    <w:rsid w:val="005E09F7"/>
    <w:rsid w:val="005E4E35"/>
    <w:rsid w:val="005E71FF"/>
    <w:rsid w:val="006016C9"/>
    <w:rsid w:val="00676818"/>
    <w:rsid w:val="006D2132"/>
    <w:rsid w:val="006D6955"/>
    <w:rsid w:val="00793C1E"/>
    <w:rsid w:val="007D174B"/>
    <w:rsid w:val="007D282C"/>
    <w:rsid w:val="007F0D0F"/>
    <w:rsid w:val="009122C8"/>
    <w:rsid w:val="00966B80"/>
    <w:rsid w:val="009E1B7F"/>
    <w:rsid w:val="00A15ABC"/>
    <w:rsid w:val="00A171E7"/>
    <w:rsid w:val="00A462A4"/>
    <w:rsid w:val="00A66137"/>
    <w:rsid w:val="00AB52AF"/>
    <w:rsid w:val="00AC597C"/>
    <w:rsid w:val="00AF41FF"/>
    <w:rsid w:val="00B2164E"/>
    <w:rsid w:val="00B235AC"/>
    <w:rsid w:val="00B43F1E"/>
    <w:rsid w:val="00B45DFE"/>
    <w:rsid w:val="00B52A07"/>
    <w:rsid w:val="00B61DF0"/>
    <w:rsid w:val="00B643AD"/>
    <w:rsid w:val="00B67F4F"/>
    <w:rsid w:val="00B8048C"/>
    <w:rsid w:val="00BB49E1"/>
    <w:rsid w:val="00BD2E61"/>
    <w:rsid w:val="00C63CC4"/>
    <w:rsid w:val="00C71803"/>
    <w:rsid w:val="00C96991"/>
    <w:rsid w:val="00D243EF"/>
    <w:rsid w:val="00D35450"/>
    <w:rsid w:val="00D46FE5"/>
    <w:rsid w:val="00D64B86"/>
    <w:rsid w:val="00D96007"/>
    <w:rsid w:val="00DA641C"/>
    <w:rsid w:val="00DC6A8B"/>
    <w:rsid w:val="00DE3DE4"/>
    <w:rsid w:val="00E20A53"/>
    <w:rsid w:val="00E3259D"/>
    <w:rsid w:val="00E37C09"/>
    <w:rsid w:val="00E8010D"/>
    <w:rsid w:val="00EC3288"/>
    <w:rsid w:val="00ED27F8"/>
    <w:rsid w:val="00ED46FB"/>
    <w:rsid w:val="00ED6BAA"/>
    <w:rsid w:val="00EE1C32"/>
    <w:rsid w:val="00EF4DDA"/>
    <w:rsid w:val="00F55501"/>
    <w:rsid w:val="00F56FA5"/>
    <w:rsid w:val="00F6591F"/>
    <w:rsid w:val="00FA290F"/>
    <w:rsid w:val="0134126F"/>
    <w:rsid w:val="01EE19B6"/>
    <w:rsid w:val="03B60BF9"/>
    <w:rsid w:val="04356722"/>
    <w:rsid w:val="04F56EF8"/>
    <w:rsid w:val="05C921D9"/>
    <w:rsid w:val="070457D8"/>
    <w:rsid w:val="0728596A"/>
    <w:rsid w:val="077E37DC"/>
    <w:rsid w:val="0BDB46E8"/>
    <w:rsid w:val="0D22325C"/>
    <w:rsid w:val="0DAF33BC"/>
    <w:rsid w:val="12137601"/>
    <w:rsid w:val="13C344C1"/>
    <w:rsid w:val="13C44C6D"/>
    <w:rsid w:val="13FC61B5"/>
    <w:rsid w:val="15BF5DA3"/>
    <w:rsid w:val="16610551"/>
    <w:rsid w:val="169E3772"/>
    <w:rsid w:val="16CD1B3B"/>
    <w:rsid w:val="16E0056A"/>
    <w:rsid w:val="172A4DE7"/>
    <w:rsid w:val="17811F81"/>
    <w:rsid w:val="179613E8"/>
    <w:rsid w:val="17B065D6"/>
    <w:rsid w:val="18CA531D"/>
    <w:rsid w:val="19766A09"/>
    <w:rsid w:val="197B1F5A"/>
    <w:rsid w:val="1A2B0F18"/>
    <w:rsid w:val="1A727F72"/>
    <w:rsid w:val="1B28788F"/>
    <w:rsid w:val="1B8E3315"/>
    <w:rsid w:val="1C4A50B4"/>
    <w:rsid w:val="1C6428CA"/>
    <w:rsid w:val="1C784EC7"/>
    <w:rsid w:val="1C7879CA"/>
    <w:rsid w:val="1CA55C12"/>
    <w:rsid w:val="1CBB6D2E"/>
    <w:rsid w:val="1E413C7A"/>
    <w:rsid w:val="1E7414D0"/>
    <w:rsid w:val="1FB262C1"/>
    <w:rsid w:val="1FDC23B8"/>
    <w:rsid w:val="2039253E"/>
    <w:rsid w:val="230802A2"/>
    <w:rsid w:val="24593900"/>
    <w:rsid w:val="2566033C"/>
    <w:rsid w:val="25D96C5C"/>
    <w:rsid w:val="25DA0A95"/>
    <w:rsid w:val="26667077"/>
    <w:rsid w:val="2783072A"/>
    <w:rsid w:val="27F17576"/>
    <w:rsid w:val="28F6591D"/>
    <w:rsid w:val="2A3F1AAF"/>
    <w:rsid w:val="2B4057CB"/>
    <w:rsid w:val="2C0C667F"/>
    <w:rsid w:val="2CEB7E27"/>
    <w:rsid w:val="2DCB1B62"/>
    <w:rsid w:val="2E3944C6"/>
    <w:rsid w:val="2E5365F8"/>
    <w:rsid w:val="2EAA3D65"/>
    <w:rsid w:val="2F191EB9"/>
    <w:rsid w:val="2F776651"/>
    <w:rsid w:val="3076377B"/>
    <w:rsid w:val="310920F8"/>
    <w:rsid w:val="31870299"/>
    <w:rsid w:val="3255552D"/>
    <w:rsid w:val="33AA3612"/>
    <w:rsid w:val="33D20888"/>
    <w:rsid w:val="342D6CBE"/>
    <w:rsid w:val="34A246FE"/>
    <w:rsid w:val="34DE32BB"/>
    <w:rsid w:val="35515591"/>
    <w:rsid w:val="35EF6522"/>
    <w:rsid w:val="361C2454"/>
    <w:rsid w:val="3733163E"/>
    <w:rsid w:val="37466C79"/>
    <w:rsid w:val="3A06303A"/>
    <w:rsid w:val="3A1A29A4"/>
    <w:rsid w:val="3A8C5B79"/>
    <w:rsid w:val="3A95616C"/>
    <w:rsid w:val="3A9B7095"/>
    <w:rsid w:val="3AAF1923"/>
    <w:rsid w:val="3B2E674C"/>
    <w:rsid w:val="3B611C64"/>
    <w:rsid w:val="3BD45D6D"/>
    <w:rsid w:val="3C254915"/>
    <w:rsid w:val="3C395948"/>
    <w:rsid w:val="3CBD785D"/>
    <w:rsid w:val="3DD91F25"/>
    <w:rsid w:val="3E872012"/>
    <w:rsid w:val="3EF26282"/>
    <w:rsid w:val="3F3405B6"/>
    <w:rsid w:val="40791CFC"/>
    <w:rsid w:val="40BF6F83"/>
    <w:rsid w:val="40E13EB9"/>
    <w:rsid w:val="40E36A94"/>
    <w:rsid w:val="414C5745"/>
    <w:rsid w:val="424710D0"/>
    <w:rsid w:val="42514348"/>
    <w:rsid w:val="42B767DB"/>
    <w:rsid w:val="430603BC"/>
    <w:rsid w:val="43A0005B"/>
    <w:rsid w:val="440F6F7D"/>
    <w:rsid w:val="454953B0"/>
    <w:rsid w:val="455D5ABB"/>
    <w:rsid w:val="45805E62"/>
    <w:rsid w:val="45C577DE"/>
    <w:rsid w:val="45E22BAD"/>
    <w:rsid w:val="46477A86"/>
    <w:rsid w:val="46EB0107"/>
    <w:rsid w:val="471C3DE4"/>
    <w:rsid w:val="47462CC7"/>
    <w:rsid w:val="47C12D08"/>
    <w:rsid w:val="48C46E4A"/>
    <w:rsid w:val="4BBA0128"/>
    <w:rsid w:val="4C2E449B"/>
    <w:rsid w:val="4D2770F7"/>
    <w:rsid w:val="4F664029"/>
    <w:rsid w:val="4FD55530"/>
    <w:rsid w:val="502E4997"/>
    <w:rsid w:val="513F624E"/>
    <w:rsid w:val="51CB48EA"/>
    <w:rsid w:val="51DB6702"/>
    <w:rsid w:val="521C5C5E"/>
    <w:rsid w:val="52E97CCC"/>
    <w:rsid w:val="536B2C7B"/>
    <w:rsid w:val="55086AC6"/>
    <w:rsid w:val="55227B38"/>
    <w:rsid w:val="55235A6C"/>
    <w:rsid w:val="558A758C"/>
    <w:rsid w:val="5679084B"/>
    <w:rsid w:val="57C56297"/>
    <w:rsid w:val="58CE0482"/>
    <w:rsid w:val="58D022AB"/>
    <w:rsid w:val="59333F85"/>
    <w:rsid w:val="59510A9A"/>
    <w:rsid w:val="59722B0B"/>
    <w:rsid w:val="59D81E08"/>
    <w:rsid w:val="5A3C0E47"/>
    <w:rsid w:val="5A91692F"/>
    <w:rsid w:val="5AC42429"/>
    <w:rsid w:val="5BA30495"/>
    <w:rsid w:val="5E090E5D"/>
    <w:rsid w:val="5E7718B1"/>
    <w:rsid w:val="5E96232F"/>
    <w:rsid w:val="604252FB"/>
    <w:rsid w:val="607D22B0"/>
    <w:rsid w:val="6083609A"/>
    <w:rsid w:val="61DF28C3"/>
    <w:rsid w:val="6235781B"/>
    <w:rsid w:val="633914DA"/>
    <w:rsid w:val="636569AA"/>
    <w:rsid w:val="63666CD9"/>
    <w:rsid w:val="63A143D1"/>
    <w:rsid w:val="64024A22"/>
    <w:rsid w:val="648049EE"/>
    <w:rsid w:val="648B3024"/>
    <w:rsid w:val="6571245D"/>
    <w:rsid w:val="6920337C"/>
    <w:rsid w:val="6ABC38FE"/>
    <w:rsid w:val="6B560E7C"/>
    <w:rsid w:val="6B746853"/>
    <w:rsid w:val="6B9C391D"/>
    <w:rsid w:val="6BA918F3"/>
    <w:rsid w:val="6C554491"/>
    <w:rsid w:val="6C573720"/>
    <w:rsid w:val="6CB57E24"/>
    <w:rsid w:val="6CF76BAD"/>
    <w:rsid w:val="6E2711F5"/>
    <w:rsid w:val="6ED16EBA"/>
    <w:rsid w:val="70CF4487"/>
    <w:rsid w:val="70DC280D"/>
    <w:rsid w:val="7173006D"/>
    <w:rsid w:val="71BB6E00"/>
    <w:rsid w:val="72131793"/>
    <w:rsid w:val="73AF5850"/>
    <w:rsid w:val="74B849E6"/>
    <w:rsid w:val="75114065"/>
    <w:rsid w:val="767C74C9"/>
    <w:rsid w:val="769D3B88"/>
    <w:rsid w:val="76B37ACA"/>
    <w:rsid w:val="78F26265"/>
    <w:rsid w:val="793E2916"/>
    <w:rsid w:val="7A150154"/>
    <w:rsid w:val="7C0346DE"/>
    <w:rsid w:val="7C6153C2"/>
    <w:rsid w:val="7C8407F0"/>
    <w:rsid w:val="7D9817C8"/>
    <w:rsid w:val="7EE36269"/>
    <w:rsid w:val="7F972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qFormat="1" w:unhideWhenUsed="0"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adjustRightInd w:val="0"/>
      <w:snapToGrid w:val="0"/>
      <w:spacing w:line="360" w:lineRule="auto"/>
      <w:ind w:firstLine="400" w:firstLineChars="200"/>
    </w:pPr>
    <w:rPr>
      <w:rFonts w:asciiTheme="minorHAnsi" w:hAnsiTheme="minorHAnsi" w:eastAsiaTheme="minorEastAsia" w:cstheme="minorBidi"/>
      <w:sz w:val="28"/>
      <w:szCs w:val="22"/>
      <w:lang w:val="en-US" w:eastAsia="en-US" w:bidi="ar-SA"/>
    </w:rPr>
  </w:style>
  <w:style w:type="paragraph" w:styleId="3">
    <w:name w:val="heading 1"/>
    <w:basedOn w:val="1"/>
    <w:next w:val="1"/>
    <w:autoRedefine/>
    <w:qFormat/>
    <w:uiPriority w:val="9"/>
    <w:pPr>
      <w:spacing w:before="30" w:beforeLines="30"/>
      <w:outlineLvl w:val="0"/>
    </w:pPr>
    <w:rPr>
      <w:rFonts w:ascii="楷体" w:hAnsi="楷体" w:eastAsia="楷体"/>
      <w:b/>
      <w:bCs/>
      <w:sz w:val="30"/>
      <w:szCs w:val="32"/>
    </w:rPr>
  </w:style>
  <w:style w:type="paragraph" w:styleId="4">
    <w:name w:val="heading 2"/>
    <w:basedOn w:val="1"/>
    <w:next w:val="1"/>
    <w:link w:val="22"/>
    <w:autoRedefine/>
    <w:unhideWhenUsed/>
    <w:qFormat/>
    <w:uiPriority w:val="9"/>
    <w:pPr>
      <w:keepNext/>
      <w:keepLines/>
      <w:outlineLvl w:val="1"/>
    </w:pPr>
    <w:rPr>
      <w:rFonts w:eastAsia="楷体" w:asciiTheme="majorHAnsi" w:hAnsiTheme="majorHAnsi" w:cstheme="majorBidi"/>
      <w:b/>
      <w:bCs/>
      <w:szCs w:val="32"/>
    </w:rPr>
  </w:style>
  <w:style w:type="character" w:default="1" w:styleId="16">
    <w:name w:val="Default Paragraph Font"/>
    <w:autoRedefine/>
    <w:semiHidden/>
    <w:unhideWhenUsed/>
    <w:qFormat/>
    <w:uiPriority w:val="1"/>
  </w:style>
  <w:style w:type="table" w:default="1" w:styleId="14">
    <w:name w:val="Normal Table"/>
    <w:autoRedefine/>
    <w:semiHidden/>
    <w:unhideWhenUsed/>
    <w:qFormat/>
    <w:uiPriority w:val="99"/>
    <w:tblPr>
      <w:tblCellMar>
        <w:top w:w="0" w:type="dxa"/>
        <w:left w:w="108" w:type="dxa"/>
        <w:bottom w:w="0" w:type="dxa"/>
        <w:right w:w="108" w:type="dxa"/>
      </w:tblCellMar>
    </w:tblPr>
  </w:style>
  <w:style w:type="paragraph" w:styleId="2">
    <w:name w:val="table of authorities"/>
    <w:basedOn w:val="1"/>
    <w:next w:val="1"/>
    <w:autoRedefine/>
    <w:qFormat/>
    <w:uiPriority w:val="99"/>
    <w:pPr>
      <w:ind w:left="420" w:leftChars="200"/>
    </w:pPr>
  </w:style>
  <w:style w:type="paragraph" w:styleId="5">
    <w:name w:val="Body Text"/>
    <w:basedOn w:val="1"/>
    <w:next w:val="1"/>
    <w:autoRedefine/>
    <w:qFormat/>
    <w:uiPriority w:val="1"/>
    <w:pPr>
      <w:jc w:val="both"/>
    </w:pPr>
    <w:rPr>
      <w:rFonts w:ascii="仿宋" w:hAnsi="仿宋" w:eastAsia="仿宋"/>
      <w:sz w:val="24"/>
      <w:szCs w:val="32"/>
    </w:rPr>
  </w:style>
  <w:style w:type="paragraph" w:styleId="6">
    <w:name w:val="toc 3"/>
    <w:basedOn w:val="1"/>
    <w:next w:val="1"/>
    <w:autoRedefine/>
    <w:semiHidden/>
    <w:unhideWhenUsed/>
    <w:qFormat/>
    <w:uiPriority w:val="39"/>
    <w:pPr>
      <w:widowControl/>
      <w:spacing w:after="100" w:line="276" w:lineRule="auto"/>
      <w:ind w:left="440"/>
    </w:pPr>
    <w:rPr>
      <w:lang w:eastAsia="zh-CN"/>
    </w:rPr>
  </w:style>
  <w:style w:type="paragraph" w:styleId="7">
    <w:name w:val="Balloon Text"/>
    <w:basedOn w:val="1"/>
    <w:link w:val="23"/>
    <w:autoRedefine/>
    <w:semiHidden/>
    <w:unhideWhenUsed/>
    <w:qFormat/>
    <w:uiPriority w:val="99"/>
    <w:rPr>
      <w:sz w:val="18"/>
      <w:szCs w:val="18"/>
    </w:rPr>
  </w:style>
  <w:style w:type="paragraph" w:styleId="8">
    <w:name w:val="footer"/>
    <w:basedOn w:val="1"/>
    <w:link w:val="21"/>
    <w:autoRedefine/>
    <w:unhideWhenUsed/>
    <w:qFormat/>
    <w:uiPriority w:val="99"/>
    <w:pPr>
      <w:tabs>
        <w:tab w:val="center" w:pos="4153"/>
        <w:tab w:val="right" w:pos="8306"/>
      </w:tabs>
    </w:pPr>
    <w:rPr>
      <w:sz w:val="18"/>
      <w:szCs w:val="18"/>
    </w:rPr>
  </w:style>
  <w:style w:type="paragraph" w:styleId="9">
    <w:name w:val="header"/>
    <w:basedOn w:val="1"/>
    <w:link w:val="20"/>
    <w:autoRedefine/>
    <w:unhideWhenUsed/>
    <w:qFormat/>
    <w:uiPriority w:val="99"/>
    <w:pPr>
      <w:pBdr>
        <w:bottom w:val="single" w:color="auto" w:sz="6" w:space="1"/>
      </w:pBdr>
      <w:tabs>
        <w:tab w:val="center" w:pos="4153"/>
        <w:tab w:val="right" w:pos="8306"/>
      </w:tabs>
      <w:jc w:val="center"/>
    </w:pPr>
    <w:rPr>
      <w:sz w:val="18"/>
      <w:szCs w:val="18"/>
    </w:rPr>
  </w:style>
  <w:style w:type="paragraph" w:styleId="10">
    <w:name w:val="toc 1"/>
    <w:basedOn w:val="1"/>
    <w:next w:val="1"/>
    <w:autoRedefine/>
    <w:qFormat/>
    <w:uiPriority w:val="39"/>
    <w:pPr>
      <w:spacing w:before="166"/>
    </w:pPr>
    <w:rPr>
      <w:rFonts w:ascii="仿宋" w:hAnsi="仿宋" w:eastAsia="仿宋"/>
      <w:b/>
      <w:bCs/>
      <w:sz w:val="30"/>
      <w:szCs w:val="30"/>
    </w:rPr>
  </w:style>
  <w:style w:type="paragraph" w:styleId="11">
    <w:name w:val="toc 2"/>
    <w:basedOn w:val="1"/>
    <w:next w:val="1"/>
    <w:autoRedefine/>
    <w:qFormat/>
    <w:uiPriority w:val="39"/>
    <w:pPr>
      <w:spacing w:before="166"/>
      <w:ind w:left="521"/>
    </w:pPr>
    <w:rPr>
      <w:rFonts w:ascii="仿宋" w:hAnsi="仿宋" w:eastAsia="仿宋"/>
      <w:sz w:val="30"/>
      <w:szCs w:val="30"/>
    </w:rPr>
  </w:style>
  <w:style w:type="paragraph" w:styleId="12">
    <w:name w:val="Title"/>
    <w:basedOn w:val="1"/>
    <w:next w:val="1"/>
    <w:link w:val="27"/>
    <w:autoRedefine/>
    <w:qFormat/>
    <w:uiPriority w:val="0"/>
    <w:pPr>
      <w:widowControl/>
      <w:adjustRightInd/>
      <w:snapToGrid/>
      <w:spacing w:line="560" w:lineRule="exact"/>
      <w:ind w:firstLine="0" w:firstLineChars="0"/>
      <w:contextualSpacing/>
      <w:jc w:val="both"/>
    </w:pPr>
    <w:rPr>
      <w:rFonts w:ascii="Inria Serif" w:hAnsi="Inria Serif" w:eastAsia="宋体" w:cs="Times New Roman (Headings CS)"/>
      <w:b/>
      <w:color w:val="0084AD"/>
      <w:spacing w:val="-10"/>
      <w:kern w:val="28"/>
      <w:sz w:val="50"/>
      <w:szCs w:val="56"/>
      <w:lang w:val="en-AU"/>
    </w:rPr>
  </w:style>
  <w:style w:type="paragraph" w:styleId="13">
    <w:name w:val="Body Text First Indent"/>
    <w:basedOn w:val="5"/>
    <w:autoRedefine/>
    <w:qFormat/>
    <w:uiPriority w:val="0"/>
    <w:pPr>
      <w:spacing w:line="560" w:lineRule="exact"/>
      <w:ind w:firstLine="721"/>
    </w:pPr>
    <w:rPr>
      <w:rFonts w:ascii="Calibri"/>
    </w:rPr>
  </w:style>
  <w:style w:type="table" w:styleId="15">
    <w:name w:val="Table Grid"/>
    <w:basedOn w:val="14"/>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
    <w:name w:val="Table Normal"/>
    <w:autoRedefine/>
    <w:semiHidden/>
    <w:unhideWhenUsed/>
    <w:qFormat/>
    <w:uiPriority w:val="2"/>
    <w:tblPr>
      <w:tblCellMar>
        <w:top w:w="0" w:type="dxa"/>
        <w:left w:w="0" w:type="dxa"/>
        <w:bottom w:w="0" w:type="dxa"/>
        <w:right w:w="0" w:type="dxa"/>
      </w:tblCellMar>
    </w:tblPr>
  </w:style>
  <w:style w:type="paragraph" w:styleId="18">
    <w:name w:val="List Paragraph"/>
    <w:basedOn w:val="1"/>
    <w:autoRedefine/>
    <w:qFormat/>
    <w:uiPriority w:val="1"/>
  </w:style>
  <w:style w:type="paragraph" w:customStyle="1" w:styleId="19">
    <w:name w:val="Table Paragraph"/>
    <w:basedOn w:val="1"/>
    <w:autoRedefine/>
    <w:qFormat/>
    <w:uiPriority w:val="1"/>
  </w:style>
  <w:style w:type="character" w:customStyle="1" w:styleId="20">
    <w:name w:val="页眉 字符"/>
    <w:basedOn w:val="16"/>
    <w:link w:val="9"/>
    <w:autoRedefine/>
    <w:qFormat/>
    <w:uiPriority w:val="99"/>
    <w:rPr>
      <w:sz w:val="18"/>
      <w:szCs w:val="18"/>
    </w:rPr>
  </w:style>
  <w:style w:type="character" w:customStyle="1" w:styleId="21">
    <w:name w:val="页脚 字符"/>
    <w:basedOn w:val="16"/>
    <w:link w:val="8"/>
    <w:autoRedefine/>
    <w:qFormat/>
    <w:uiPriority w:val="99"/>
    <w:rPr>
      <w:sz w:val="18"/>
      <w:szCs w:val="18"/>
    </w:rPr>
  </w:style>
  <w:style w:type="character" w:customStyle="1" w:styleId="22">
    <w:name w:val="标题 2 字符"/>
    <w:basedOn w:val="16"/>
    <w:link w:val="4"/>
    <w:autoRedefine/>
    <w:semiHidden/>
    <w:qFormat/>
    <w:uiPriority w:val="9"/>
    <w:rPr>
      <w:rFonts w:eastAsia="楷体" w:asciiTheme="majorHAnsi" w:hAnsiTheme="majorHAnsi" w:cstheme="majorBidi"/>
      <w:b/>
      <w:bCs/>
      <w:sz w:val="28"/>
      <w:szCs w:val="32"/>
    </w:rPr>
  </w:style>
  <w:style w:type="character" w:customStyle="1" w:styleId="23">
    <w:name w:val="批注框文本 字符"/>
    <w:basedOn w:val="16"/>
    <w:link w:val="7"/>
    <w:autoRedefine/>
    <w:semiHidden/>
    <w:qFormat/>
    <w:uiPriority w:val="99"/>
    <w:rPr>
      <w:sz w:val="18"/>
      <w:szCs w:val="18"/>
    </w:rPr>
  </w:style>
  <w:style w:type="paragraph" w:customStyle="1" w:styleId="24">
    <w:name w:val="TOC 标题1"/>
    <w:basedOn w:val="3"/>
    <w:next w:val="1"/>
    <w:autoRedefine/>
    <w:semiHidden/>
    <w:unhideWhenUsed/>
    <w:qFormat/>
    <w:uiPriority w:val="39"/>
    <w:pPr>
      <w:keepNext/>
      <w:keepLines/>
      <w:widowControl/>
      <w:spacing w:before="480" w:line="276" w:lineRule="auto"/>
      <w:outlineLvl w:val="9"/>
    </w:pPr>
    <w:rPr>
      <w:rFonts w:asciiTheme="majorHAnsi" w:hAnsiTheme="majorHAnsi" w:eastAsiaTheme="majorEastAsia" w:cstheme="majorBidi"/>
      <w:color w:val="366091" w:themeColor="accent1" w:themeShade="BF"/>
      <w:sz w:val="28"/>
      <w:szCs w:val="28"/>
      <w:lang w:eastAsia="zh-CN"/>
    </w:rPr>
  </w:style>
  <w:style w:type="paragraph" w:customStyle="1" w:styleId="25">
    <w:name w:val="WPSOffice手动目录 1"/>
    <w:autoRedefine/>
    <w:qFormat/>
    <w:uiPriority w:val="0"/>
    <w:rPr>
      <w:rFonts w:asciiTheme="minorHAnsi" w:hAnsiTheme="minorHAnsi" w:eastAsiaTheme="minorEastAsia" w:cstheme="minorBidi"/>
      <w:lang w:val="en-US" w:eastAsia="zh-CN" w:bidi="ar-SA"/>
    </w:rPr>
  </w:style>
  <w:style w:type="paragraph" w:customStyle="1" w:styleId="26">
    <w:name w:val="WPSOffice手动目录 2"/>
    <w:autoRedefine/>
    <w:qFormat/>
    <w:uiPriority w:val="0"/>
    <w:pPr>
      <w:ind w:left="200" w:leftChars="200"/>
    </w:pPr>
    <w:rPr>
      <w:rFonts w:asciiTheme="minorHAnsi" w:hAnsiTheme="minorHAnsi" w:eastAsiaTheme="minorEastAsia" w:cstheme="minorBidi"/>
      <w:lang w:val="en-US" w:eastAsia="zh-CN" w:bidi="ar-SA"/>
    </w:rPr>
  </w:style>
  <w:style w:type="character" w:customStyle="1" w:styleId="27">
    <w:name w:val="标题 字符"/>
    <w:basedOn w:val="16"/>
    <w:link w:val="12"/>
    <w:autoRedefine/>
    <w:qFormat/>
    <w:uiPriority w:val="0"/>
    <w:rPr>
      <w:rFonts w:ascii="Inria Serif" w:hAnsi="Inria Serif" w:cs="Times New Roman (Headings CS)"/>
      <w:b/>
      <w:color w:val="0084AD"/>
      <w:spacing w:val="-10"/>
      <w:kern w:val="28"/>
      <w:sz w:val="50"/>
      <w:szCs w:val="56"/>
      <w:lang w:val="en-AU"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5" Type="http://schemas.openxmlformats.org/officeDocument/2006/relationships/fontTable" Target="fontTable.xml"/><Relationship Id="rId24" Type="http://schemas.openxmlformats.org/officeDocument/2006/relationships/customXml" Target="../customXml/item2.xml"/><Relationship Id="rId23" Type="http://schemas.openxmlformats.org/officeDocument/2006/relationships/customXml" Target="../customXml/item1.xml"/><Relationship Id="rId22" Type="http://schemas.openxmlformats.org/officeDocument/2006/relationships/image" Target="media/image10.jpeg"/><Relationship Id="rId21" Type="http://schemas.openxmlformats.org/officeDocument/2006/relationships/image" Target="media/image9.jpeg"/><Relationship Id="rId20" Type="http://schemas.openxmlformats.org/officeDocument/2006/relationships/image" Target="media/image8.jpeg"/><Relationship Id="rId2" Type="http://schemas.openxmlformats.org/officeDocument/2006/relationships/settings" Target="settings.xml"/><Relationship Id="rId19" Type="http://schemas.openxmlformats.org/officeDocument/2006/relationships/image" Target="media/image7.jpeg"/><Relationship Id="rId18" Type="http://schemas.openxmlformats.org/officeDocument/2006/relationships/image" Target="media/image6.jpeg"/><Relationship Id="rId17" Type="http://schemas.openxmlformats.org/officeDocument/2006/relationships/image" Target="media/image5.jpeg"/><Relationship Id="rId16" Type="http://schemas.openxmlformats.org/officeDocument/2006/relationships/image" Target="media/image4.jpeg"/><Relationship Id="rId15" Type="http://schemas.openxmlformats.org/officeDocument/2006/relationships/image" Target="media/image3.jpeg"/><Relationship Id="rId14" Type="http://schemas.openxmlformats.org/officeDocument/2006/relationships/image" Target="media/image2.jpe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D111FD-9A5E-4FDC-8CFD-DE4423D61DF0}">
  <ds:schemaRefs/>
</ds:datastoreItem>
</file>

<file path=docProps/app.xml><?xml version="1.0" encoding="utf-8"?>
<Properties xmlns="http://schemas.openxmlformats.org/officeDocument/2006/extended-properties" xmlns:vt="http://schemas.openxmlformats.org/officeDocument/2006/docPropsVTypes">
  <Template>Normal</Template>
  <Pages>24</Pages>
  <Words>1742</Words>
  <Characters>9935</Characters>
  <Lines>82</Lines>
  <Paragraphs>23</Paragraphs>
  <TotalTime>2</TotalTime>
  <ScaleCrop>false</ScaleCrop>
  <LinksUpToDate>false</LinksUpToDate>
  <CharactersWithSpaces>11654</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2021-08-06T17:27:00Z</dcterms:created>
  <dc:creator>like</dc:creator>
  <cp:lastModifiedBy>小辉</cp:lastModifiedBy>
  <dcterms:modified xsi:type="dcterms:W3CDTF">2024-04-23T08:40:42Z</dcterms:modified>
  <dc:title>2014年中国技能大赛——第43届世界技能大赛汽车技术项目全国选拔赛技术工作文件</dc:title>
  <cp:revision>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2020-09-19T00:00:00Z</vt:filetime>
  </property>
  <property fmtid="{D5CDD505-2E9C-101B-9397-08002B2CF9AE}" pid="3" name="Creator">
    <vt:lpwstr>Microsoft® Word 2019</vt:lpwstr>
  </property>
  <property fmtid="{D5CDD505-2E9C-101B-9397-08002B2CF9AE}" pid="4" name="LastSaved">
    <vt:filetime>2021-08-06T00:00:00Z</vt:filetime>
  </property>
  <property fmtid="{D5CDD505-2E9C-101B-9397-08002B2CF9AE}" pid="5" name="KSOProductBuildVer">
    <vt:lpwstr>2052-12.1.0.16729</vt:lpwstr>
  </property>
  <property fmtid="{D5CDD505-2E9C-101B-9397-08002B2CF9AE}" pid="6" name="ICV">
    <vt:lpwstr>CD8FACCC9CDD47878708369A57545049</vt:lpwstr>
  </property>
</Properties>
</file>