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right="1107"/>
        <w:textAlignment w:val="baseline"/>
        <w:rPr>
          <w:rFonts w:ascii="华文中宋" w:hAnsi="华文中宋" w:eastAsia="华文中宋" w:cs="华文中宋"/>
          <w:snapToGrid w:val="0"/>
          <w:color w:val="000000"/>
          <w:spacing w:val="-2"/>
          <w:kern w:val="0"/>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ascii="华文中宋" w:hAnsi="华文中宋" w:eastAsia="华文中宋" w:cs="华文中宋"/>
          <w:snapToGrid w:val="0"/>
          <w:color w:val="000000"/>
          <w:spacing w:val="-2"/>
          <w:kern w:val="0"/>
          <w:sz w:val="52"/>
          <w:szCs w:val="52"/>
        </w:rPr>
      </w:pPr>
      <w:bookmarkStart w:id="0" w:name="_Toc5755"/>
      <w:bookmarkStart w:id="1" w:name="_Toc27784"/>
      <w:r>
        <w:rPr>
          <w:rFonts w:hint="eastAsia" w:ascii="华文中宋" w:hAnsi="华文中宋" w:eastAsia="华文中宋" w:cs="华文中宋"/>
          <w:snapToGrid w:val="0"/>
          <w:color w:val="000000"/>
          <w:spacing w:val="-2"/>
          <w:kern w:val="0"/>
          <w:sz w:val="52"/>
          <w:szCs w:val="52"/>
        </w:rPr>
        <w:t>许昌市第一届职业技能大赛</w:t>
      </w:r>
      <w:bookmarkEnd w:id="0"/>
      <w:bookmarkEnd w:id="1"/>
    </w:p>
    <w:p>
      <w:pPr>
        <w:keepNext w:val="0"/>
        <w:keepLines w:val="0"/>
        <w:pageBreakBefore w:val="0"/>
        <w:widowControl/>
        <w:kinsoku w:val="0"/>
        <w:wordWrap/>
        <w:overflowPunct/>
        <w:topLinePunct w:val="0"/>
        <w:autoSpaceDE w:val="0"/>
        <w:autoSpaceDN w:val="0"/>
        <w:bidi w:val="0"/>
        <w:adjustRightInd w:val="0"/>
        <w:snapToGrid w:val="0"/>
        <w:spacing w:line="360" w:lineRule="auto"/>
        <w:ind w:left="3291" w:right="1107" w:hanging="2168"/>
        <w:jc w:val="center"/>
        <w:textAlignment w:val="baseline"/>
        <w:rPr>
          <w:rFonts w:ascii="华文中宋" w:hAnsi="华文中宋" w:eastAsia="华文中宋" w:cs="华文中宋"/>
          <w:snapToGrid w:val="0"/>
          <w:color w:val="000000"/>
          <w:spacing w:val="-2"/>
          <w:kern w:val="0"/>
          <w:sz w:val="52"/>
          <w:szCs w:val="52"/>
        </w:rPr>
      </w:pPr>
      <w:r>
        <w:rPr>
          <w:rFonts w:hint="eastAsia" w:ascii="华文中宋" w:hAnsi="华文中宋" w:eastAsia="华文中宋" w:cs="华文中宋"/>
          <w:snapToGrid w:val="0"/>
          <w:color w:val="000000"/>
          <w:spacing w:val="-2"/>
          <w:kern w:val="0"/>
          <w:sz w:val="52"/>
          <w:szCs w:val="52"/>
        </w:rPr>
        <w:t>【砌筑项目】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291" w:right="1107" w:hanging="2168"/>
        <w:jc w:val="left"/>
        <w:textAlignment w:val="baseline"/>
        <w:rPr>
          <w:rFonts w:ascii="华文中宋" w:hAnsi="华文中宋" w:eastAsia="华文中宋" w:cs="华文中宋"/>
          <w:snapToGrid w:val="0"/>
          <w:color w:val="000000"/>
          <w:spacing w:val="-2"/>
          <w:kern w:val="0"/>
          <w:sz w:val="48"/>
          <w:szCs w:val="48"/>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3291" w:right="1107" w:hanging="2168"/>
        <w:jc w:val="center"/>
        <w:textAlignment w:val="baseline"/>
        <w:outlineLvl w:val="0"/>
        <w:rPr>
          <w:rFonts w:ascii="华文中宋" w:hAnsi="华文中宋" w:eastAsia="华文中宋" w:cs="华文中宋"/>
          <w:snapToGrid w:val="0"/>
          <w:color w:val="000000"/>
          <w:spacing w:val="-2"/>
          <w:kern w:val="0"/>
          <w:sz w:val="48"/>
          <w:szCs w:val="48"/>
        </w:rPr>
      </w:pPr>
      <w:bookmarkStart w:id="2" w:name="_Toc1844"/>
      <w:bookmarkStart w:id="3" w:name="_Toc25426"/>
      <w:r>
        <w:rPr>
          <w:rFonts w:hint="eastAsia" w:ascii="华文中宋" w:hAnsi="华文中宋" w:eastAsia="华文中宋" w:cs="华文中宋"/>
          <w:snapToGrid w:val="0"/>
          <w:color w:val="000000"/>
          <w:spacing w:val="-2"/>
          <w:kern w:val="0"/>
          <w:sz w:val="48"/>
          <w:szCs w:val="48"/>
        </w:rPr>
        <w:t>技</w:t>
      </w:r>
      <w:bookmarkEnd w:id="2"/>
      <w:bookmarkEnd w:id="3"/>
    </w:p>
    <w:p>
      <w:pPr>
        <w:keepNext w:val="0"/>
        <w:keepLines w:val="0"/>
        <w:pageBreakBefore w:val="0"/>
        <w:widowControl/>
        <w:kinsoku w:val="0"/>
        <w:wordWrap/>
        <w:overflowPunct/>
        <w:topLinePunct w:val="0"/>
        <w:autoSpaceDE w:val="0"/>
        <w:autoSpaceDN w:val="0"/>
        <w:bidi w:val="0"/>
        <w:adjustRightInd w:val="0"/>
        <w:snapToGrid w:val="0"/>
        <w:spacing w:line="360" w:lineRule="auto"/>
        <w:ind w:left="3291" w:right="1107" w:hanging="2168"/>
        <w:jc w:val="center"/>
        <w:textAlignment w:val="baseline"/>
        <w:outlineLvl w:val="0"/>
        <w:rPr>
          <w:rFonts w:ascii="华文中宋" w:hAnsi="华文中宋" w:eastAsia="华文中宋" w:cs="华文中宋"/>
          <w:snapToGrid w:val="0"/>
          <w:color w:val="000000"/>
          <w:spacing w:val="-2"/>
          <w:kern w:val="0"/>
          <w:sz w:val="48"/>
          <w:szCs w:val="48"/>
        </w:rPr>
      </w:pPr>
      <w:bookmarkStart w:id="4" w:name="_Toc29440"/>
      <w:bookmarkStart w:id="5" w:name="_Toc11279"/>
      <w:r>
        <w:rPr>
          <w:rFonts w:hint="eastAsia" w:ascii="华文中宋" w:hAnsi="华文中宋" w:eastAsia="华文中宋" w:cs="华文中宋"/>
          <w:snapToGrid w:val="0"/>
          <w:color w:val="000000"/>
          <w:spacing w:val="-2"/>
          <w:kern w:val="0"/>
          <w:sz w:val="48"/>
          <w:szCs w:val="48"/>
        </w:rPr>
        <w:t>术</w:t>
      </w:r>
      <w:bookmarkEnd w:id="4"/>
      <w:bookmarkEnd w:id="5"/>
    </w:p>
    <w:p>
      <w:pPr>
        <w:keepNext w:val="0"/>
        <w:keepLines w:val="0"/>
        <w:pageBreakBefore w:val="0"/>
        <w:widowControl/>
        <w:kinsoku w:val="0"/>
        <w:wordWrap/>
        <w:overflowPunct/>
        <w:topLinePunct w:val="0"/>
        <w:autoSpaceDE w:val="0"/>
        <w:autoSpaceDN w:val="0"/>
        <w:bidi w:val="0"/>
        <w:adjustRightInd w:val="0"/>
        <w:snapToGrid w:val="0"/>
        <w:spacing w:line="360" w:lineRule="auto"/>
        <w:ind w:left="3291" w:right="1107" w:hanging="2168"/>
        <w:jc w:val="center"/>
        <w:textAlignment w:val="baseline"/>
        <w:outlineLvl w:val="0"/>
        <w:rPr>
          <w:rFonts w:ascii="华文中宋" w:hAnsi="华文中宋" w:eastAsia="华文中宋" w:cs="华文中宋"/>
          <w:snapToGrid w:val="0"/>
          <w:color w:val="000000"/>
          <w:spacing w:val="-2"/>
          <w:kern w:val="0"/>
          <w:sz w:val="48"/>
          <w:szCs w:val="48"/>
        </w:rPr>
      </w:pPr>
      <w:bookmarkStart w:id="6" w:name="_Toc12102"/>
      <w:bookmarkStart w:id="7" w:name="_Toc30807"/>
      <w:r>
        <w:rPr>
          <w:rFonts w:hint="eastAsia" w:ascii="华文中宋" w:hAnsi="华文中宋" w:eastAsia="华文中宋" w:cs="华文中宋"/>
          <w:snapToGrid w:val="0"/>
          <w:color w:val="000000"/>
          <w:spacing w:val="-2"/>
          <w:kern w:val="0"/>
          <w:sz w:val="48"/>
          <w:szCs w:val="48"/>
        </w:rPr>
        <w:t>文</w:t>
      </w:r>
      <w:bookmarkEnd w:id="6"/>
      <w:bookmarkEnd w:id="7"/>
    </w:p>
    <w:p>
      <w:pPr>
        <w:keepNext w:val="0"/>
        <w:keepLines w:val="0"/>
        <w:pageBreakBefore w:val="0"/>
        <w:widowControl/>
        <w:kinsoku w:val="0"/>
        <w:wordWrap/>
        <w:overflowPunct/>
        <w:topLinePunct w:val="0"/>
        <w:autoSpaceDE w:val="0"/>
        <w:autoSpaceDN w:val="0"/>
        <w:bidi w:val="0"/>
        <w:adjustRightInd w:val="0"/>
        <w:snapToGrid w:val="0"/>
        <w:spacing w:line="360" w:lineRule="auto"/>
        <w:ind w:left="3291" w:right="1107" w:hanging="2168"/>
        <w:jc w:val="center"/>
        <w:textAlignment w:val="baseline"/>
        <w:outlineLvl w:val="0"/>
        <w:rPr>
          <w:rFonts w:ascii="华文中宋" w:hAnsi="华文中宋" w:eastAsia="华文中宋" w:cs="华文中宋"/>
          <w:snapToGrid w:val="0"/>
          <w:color w:val="000000"/>
          <w:spacing w:val="-2"/>
          <w:kern w:val="0"/>
          <w:sz w:val="48"/>
          <w:szCs w:val="48"/>
        </w:rPr>
      </w:pPr>
      <w:bookmarkStart w:id="8" w:name="_Toc8758"/>
      <w:bookmarkStart w:id="9" w:name="_Toc17185"/>
      <w:r>
        <w:rPr>
          <w:rFonts w:hint="eastAsia" w:ascii="华文中宋" w:hAnsi="华文中宋" w:eastAsia="华文中宋" w:cs="华文中宋"/>
          <w:snapToGrid w:val="0"/>
          <w:color w:val="000000"/>
          <w:spacing w:val="-2"/>
          <w:kern w:val="0"/>
          <w:sz w:val="48"/>
          <w:szCs w:val="48"/>
        </w:rPr>
        <w:t>件</w:t>
      </w:r>
      <w:bookmarkEnd w:id="8"/>
      <w:bookmarkEnd w:id="9"/>
    </w:p>
    <w:p>
      <w:pPr>
        <w:keepNext w:val="0"/>
        <w:keepLines w:val="0"/>
        <w:pageBreakBefore w:val="0"/>
        <w:wordWrap/>
        <w:overflowPunct/>
        <w:topLinePunct w:val="0"/>
        <w:bidi w:val="0"/>
        <w:spacing w:line="360" w:lineRule="auto"/>
      </w:pPr>
    </w:p>
    <w:p>
      <w:pPr>
        <w:keepNext w:val="0"/>
        <w:keepLines w:val="0"/>
        <w:pageBreakBefore w:val="0"/>
        <w:wordWrap/>
        <w:overflowPunct/>
        <w:topLinePunct w:val="0"/>
        <w:bidi w:val="0"/>
        <w:spacing w:line="360" w:lineRule="auto"/>
      </w:pPr>
    </w:p>
    <w:p>
      <w:pPr>
        <w:keepNext w:val="0"/>
        <w:keepLines w:val="0"/>
        <w:pageBreakBefore w:val="0"/>
        <w:wordWrap/>
        <w:overflowPunct/>
        <w:topLinePunct w:val="0"/>
        <w:bidi w:val="0"/>
        <w:spacing w:line="360" w:lineRule="auto"/>
      </w:pPr>
    </w:p>
    <w:p>
      <w:pPr>
        <w:keepNext w:val="0"/>
        <w:keepLines w:val="0"/>
        <w:pageBreakBefore w:val="0"/>
        <w:wordWrap/>
        <w:overflowPunct/>
        <w:topLinePunct w:val="0"/>
        <w:bidi w:val="0"/>
        <w:spacing w:line="360" w:lineRule="auto"/>
      </w:pPr>
    </w:p>
    <w:p>
      <w:pPr>
        <w:keepNext w:val="0"/>
        <w:keepLines w:val="0"/>
        <w:pageBreakBefore w:val="0"/>
        <w:wordWrap/>
        <w:overflowPunct/>
        <w:topLinePunct w:val="0"/>
        <w:bidi w:val="0"/>
        <w:adjustRightInd w:val="0"/>
        <w:snapToGrid w:val="0"/>
        <w:spacing w:line="360" w:lineRule="auto"/>
        <w:ind w:firstLine="640" w:firstLineChars="200"/>
        <w:rPr>
          <w:rFonts w:ascii="黑体" w:hAnsi="黑体" w:eastAsia="黑体" w:cs="黑体"/>
          <w:sz w:val="32"/>
          <w:szCs w:val="40"/>
        </w:rPr>
      </w:pPr>
      <w:r>
        <w:rPr>
          <w:rFonts w:hint="eastAsia" w:ascii="黑体" w:hAnsi="黑体" w:eastAsia="黑体" w:cs="黑体"/>
          <w:sz w:val="32"/>
          <w:szCs w:val="40"/>
        </w:rPr>
        <w:t>编制人签名及日期：</w:t>
      </w:r>
    </w:p>
    <w:p>
      <w:pPr>
        <w:keepNext w:val="0"/>
        <w:keepLines w:val="0"/>
        <w:pageBreakBefore w:val="0"/>
        <w:wordWrap/>
        <w:overflowPunct/>
        <w:topLinePunct w:val="0"/>
        <w:bidi w:val="0"/>
        <w:adjustRightInd w:val="0"/>
        <w:snapToGrid w:val="0"/>
        <w:spacing w:line="360" w:lineRule="auto"/>
        <w:ind w:firstLine="640" w:firstLineChars="200"/>
        <w:rPr>
          <w:rFonts w:ascii="黑体" w:hAnsi="黑体" w:eastAsia="黑体" w:cs="黑体"/>
          <w:sz w:val="32"/>
          <w:szCs w:val="40"/>
        </w:rPr>
      </w:pPr>
      <w:r>
        <w:rPr>
          <w:rFonts w:hint="eastAsia" w:ascii="黑体" w:hAnsi="黑体" w:eastAsia="黑体" w:cs="黑体"/>
          <w:sz w:val="32"/>
          <w:szCs w:val="40"/>
        </w:rPr>
        <w:t>裁 判 长：</w:t>
      </w:r>
    </w:p>
    <w:p>
      <w:pPr>
        <w:keepNext w:val="0"/>
        <w:keepLines w:val="0"/>
        <w:pageBreakBefore w:val="0"/>
        <w:wordWrap/>
        <w:overflowPunct/>
        <w:topLinePunct w:val="0"/>
        <w:bidi w:val="0"/>
        <w:adjustRightInd w:val="0"/>
        <w:snapToGrid w:val="0"/>
        <w:spacing w:line="360" w:lineRule="auto"/>
        <w:ind w:firstLine="640" w:firstLineChars="200"/>
        <w:rPr>
          <w:rFonts w:ascii="黑体" w:hAnsi="黑体" w:eastAsia="黑体" w:cs="黑体"/>
          <w:sz w:val="32"/>
          <w:szCs w:val="40"/>
        </w:rPr>
      </w:pPr>
      <w:r>
        <w:rPr>
          <w:rFonts w:hint="eastAsia" w:ascii="黑体" w:hAnsi="黑体" w:eastAsia="黑体" w:cs="黑体"/>
          <w:sz w:val="32"/>
          <w:szCs w:val="40"/>
        </w:rPr>
        <w:t>场地技术负责人：</w:t>
      </w:r>
    </w:p>
    <w:p>
      <w:pPr>
        <w:keepNext w:val="0"/>
        <w:keepLines w:val="0"/>
        <w:pageBreakBefore w:val="0"/>
        <w:wordWrap/>
        <w:overflowPunct/>
        <w:topLinePunct w:val="0"/>
        <w:bidi w:val="0"/>
        <w:adjustRightInd w:val="0"/>
        <w:snapToGrid w:val="0"/>
        <w:spacing w:line="360" w:lineRule="auto"/>
        <w:ind w:firstLine="640" w:firstLineChars="200"/>
        <w:rPr>
          <w:rFonts w:ascii="黑体" w:hAnsi="黑体" w:eastAsia="黑体" w:cs="黑体"/>
          <w:sz w:val="32"/>
          <w:szCs w:val="40"/>
        </w:rPr>
      </w:pPr>
      <w:r>
        <w:rPr>
          <w:rFonts w:hint="eastAsia" w:ascii="黑体" w:hAnsi="黑体" w:eastAsia="黑体" w:cs="黑体"/>
          <w:sz w:val="32"/>
          <w:szCs w:val="40"/>
        </w:rPr>
        <w:t>审核人签名及日期：</w:t>
      </w:r>
    </w:p>
    <w:p>
      <w:pPr>
        <w:keepNext w:val="0"/>
        <w:keepLines w:val="0"/>
        <w:pageBreakBefore w:val="0"/>
        <w:wordWrap/>
        <w:overflowPunct/>
        <w:topLinePunct w:val="0"/>
        <w:bidi w:val="0"/>
        <w:adjustRightInd w:val="0"/>
        <w:snapToGrid w:val="0"/>
        <w:spacing w:line="360" w:lineRule="auto"/>
        <w:ind w:firstLine="640" w:firstLineChars="200"/>
        <w:rPr>
          <w:rFonts w:ascii="黑体" w:hAnsi="黑体" w:eastAsia="黑体" w:cs="黑体"/>
          <w:sz w:val="32"/>
          <w:szCs w:val="40"/>
        </w:rPr>
      </w:pPr>
    </w:p>
    <w:p>
      <w:pPr>
        <w:keepNext w:val="0"/>
        <w:keepLines w:val="0"/>
        <w:pageBreakBefore w:val="0"/>
        <w:wordWrap/>
        <w:overflowPunct/>
        <w:topLinePunct w:val="0"/>
        <w:bidi w:val="0"/>
        <w:adjustRightInd w:val="0"/>
        <w:snapToGrid w:val="0"/>
        <w:spacing w:line="360" w:lineRule="auto"/>
        <w:ind w:firstLine="640" w:firstLineChars="200"/>
        <w:rPr>
          <w:rFonts w:ascii="黑体" w:hAnsi="黑体" w:eastAsia="黑体" w:cs="黑体"/>
          <w:sz w:val="32"/>
          <w:szCs w:val="40"/>
        </w:rPr>
      </w:pPr>
    </w:p>
    <w:sdt>
      <w:sdtPr>
        <w:rPr>
          <w:rFonts w:ascii="宋体" w:hAnsi="宋体" w:eastAsia="宋体"/>
        </w:rPr>
        <w:id w:val="147471070"/>
        <w15:color w:val="DBDBDB"/>
        <w:docPartObj>
          <w:docPartGallery w:val="Table of Contents"/>
          <w:docPartUnique/>
        </w:docPartObj>
      </w:sdtPr>
      <w:sdtEndPr>
        <w:rPr>
          <w:rFonts w:hint="eastAsia" w:ascii="黑体" w:hAnsi="黑体" w:eastAsia="黑体" w:cs="黑体"/>
          <w:b/>
          <w:szCs w:val="40"/>
        </w:rPr>
      </w:sdtEndPr>
      <w:sdtContent>
        <w:p>
          <w:pPr>
            <w:keepNext w:val="0"/>
            <w:keepLines w:val="0"/>
            <w:pageBreakBefore w:val="0"/>
            <w:wordWrap/>
            <w:overflowPunct/>
            <w:topLinePunct w:val="0"/>
            <w:bidi w:val="0"/>
            <w:adjustRightInd w:val="0"/>
            <w:snapToGrid w:val="0"/>
            <w:spacing w:line="360" w:lineRule="auto"/>
            <w:jc w:val="center"/>
          </w:pPr>
          <w:r>
            <w:rPr>
              <w:rFonts w:ascii="宋体" w:hAnsi="宋体" w:eastAsia="宋体"/>
              <w:b/>
              <w:bCs/>
              <w:sz w:val="28"/>
              <w:szCs w:val="36"/>
            </w:rPr>
            <w:t>目</w:t>
          </w:r>
          <w:r>
            <w:rPr>
              <w:rFonts w:hint="eastAsia" w:ascii="宋体" w:hAnsi="宋体" w:eastAsia="宋体"/>
              <w:b/>
              <w:bCs/>
              <w:sz w:val="28"/>
              <w:szCs w:val="36"/>
            </w:rPr>
            <w:t xml:space="preserve"> </w:t>
          </w:r>
          <w:r>
            <w:rPr>
              <w:rFonts w:ascii="宋体" w:hAnsi="宋体" w:eastAsia="宋体"/>
              <w:b/>
              <w:bCs/>
              <w:sz w:val="28"/>
              <w:szCs w:val="36"/>
            </w:rPr>
            <w:t>录</w:t>
          </w:r>
          <w:r>
            <w:rPr>
              <w:rFonts w:hint="eastAsia" w:ascii="黑体" w:hAnsi="黑体" w:eastAsia="黑体" w:cs="黑体"/>
              <w:sz w:val="32"/>
              <w:szCs w:val="40"/>
            </w:rPr>
            <w:fldChar w:fldCharType="begin"/>
          </w:r>
          <w:r>
            <w:rPr>
              <w:rFonts w:hint="eastAsia" w:ascii="黑体" w:hAnsi="黑体" w:eastAsia="黑体" w:cs="黑体"/>
              <w:sz w:val="32"/>
              <w:szCs w:val="40"/>
            </w:rPr>
            <w:instrText xml:space="preserve">TOC \o "1-2" \h \u </w:instrText>
          </w:r>
          <w:r>
            <w:rPr>
              <w:rFonts w:hint="eastAsia" w:ascii="黑体" w:hAnsi="黑体" w:eastAsia="黑体" w:cs="黑体"/>
              <w:sz w:val="32"/>
              <w:szCs w:val="40"/>
            </w:rPr>
            <w:fldChar w:fldCharType="separate"/>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"_Toc29521" </w:instrText>
          </w:r>
          <w:r>
            <w:fldChar w:fldCharType="separate"/>
          </w:r>
          <w:r>
            <w:rPr>
              <w:rFonts w:hint="eastAsia" w:ascii="黑体" w:hAnsi="黑体" w:eastAsia="黑体" w:cs="黑体"/>
              <w:szCs w:val="32"/>
            </w:rPr>
            <w:t>一、 技术描述</w:t>
          </w:r>
          <w:r>
            <w:tab/>
          </w:r>
          <w:r>
            <w:fldChar w:fldCharType="begin"/>
          </w:r>
          <w:r>
            <w:instrText xml:space="preserve"> PAGEREF _Toc29521 \h </w:instrText>
          </w:r>
          <w:r>
            <w:fldChar w:fldCharType="separate"/>
          </w:r>
          <w:r>
            <w:t>3</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"_Toc4811" </w:instrText>
          </w:r>
          <w:r>
            <w:fldChar w:fldCharType="separate"/>
          </w:r>
          <w:r>
            <w:rPr>
              <w:rFonts w:hint="eastAsia" w:ascii="宋体" w:hAnsi="宋体" w:eastAsia="宋体" w:cs="宋体"/>
              <w:bCs/>
              <w:szCs w:val="30"/>
            </w:rPr>
            <w:t>（一） 项目概要</w:t>
          </w:r>
          <w:r>
            <w:tab/>
          </w:r>
          <w:r>
            <w:fldChar w:fldCharType="begin"/>
          </w:r>
          <w:r>
            <w:instrText xml:space="preserve"> PAGEREF _Toc4811 \h </w:instrText>
          </w:r>
          <w:r>
            <w:fldChar w:fldCharType="separate"/>
          </w:r>
          <w:r>
            <w:t>3</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"_Toc16176" </w:instrText>
          </w:r>
          <w:r>
            <w:fldChar w:fldCharType="separate"/>
          </w:r>
          <w:r>
            <w:rPr>
              <w:rFonts w:hint="eastAsia" w:ascii="宋体" w:hAnsi="宋体" w:eastAsia="宋体" w:cs="宋体"/>
              <w:bCs/>
              <w:szCs w:val="30"/>
            </w:rPr>
            <w:t>（二） 基本知识与能力要求</w:t>
          </w:r>
          <w:r>
            <w:tab/>
          </w:r>
          <w:r>
            <w:fldChar w:fldCharType="begin"/>
          </w:r>
          <w:r>
            <w:instrText xml:space="preserve"> PAGEREF _Toc16176 \h </w:instrText>
          </w:r>
          <w:r>
            <w:fldChar w:fldCharType="separate"/>
          </w:r>
          <w:r>
            <w:t>3</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"_Toc2234" </w:instrText>
          </w:r>
          <w:r>
            <w:fldChar w:fldCharType="separate"/>
          </w:r>
          <w:r>
            <w:rPr>
              <w:rFonts w:hint="eastAsia" w:ascii="宋体" w:hAnsi="宋体" w:eastAsia="宋体" w:cs="宋体"/>
              <w:bCs/>
              <w:szCs w:val="40"/>
            </w:rPr>
            <w:t>（三） 技术指标</w:t>
          </w:r>
          <w:r>
            <w:tab/>
          </w:r>
          <w:r>
            <w:fldChar w:fldCharType="begin"/>
          </w:r>
          <w:r>
            <w:instrText xml:space="preserve"> PAGEREF _Toc2234 \h </w:instrText>
          </w:r>
          <w:r>
            <w:fldChar w:fldCharType="separate"/>
          </w:r>
          <w:r>
            <w:t>6</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"_Toc12894" </w:instrText>
          </w:r>
          <w:r>
            <w:fldChar w:fldCharType="separate"/>
          </w:r>
          <w:r>
            <w:rPr>
              <w:rFonts w:hint="eastAsia" w:ascii="黑体" w:hAnsi="黑体" w:eastAsia="黑体" w:cs="黑体"/>
              <w:szCs w:val="32"/>
            </w:rPr>
            <w:t>二、 试题及评判标准</w:t>
          </w:r>
          <w:r>
            <w:tab/>
          </w:r>
          <w:r>
            <w:fldChar w:fldCharType="begin"/>
          </w:r>
          <w:r>
            <w:instrText xml:space="preserve"> PAGEREF _Toc12894 \h </w:instrText>
          </w:r>
          <w:r>
            <w:fldChar w:fldCharType="separate"/>
          </w:r>
          <w:r>
            <w:t>7</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"_Toc2905" </w:instrText>
          </w:r>
          <w:r>
            <w:fldChar w:fldCharType="separate"/>
          </w:r>
          <w:r>
            <w:rPr>
              <w:rFonts w:hint="eastAsia" w:ascii="宋体" w:hAnsi="宋体" w:eastAsia="宋体" w:cs="宋体"/>
              <w:bCs/>
              <w:szCs w:val="30"/>
            </w:rPr>
            <w:t>（一）试题</w:t>
          </w:r>
          <w:r>
            <w:tab/>
          </w:r>
          <w:r>
            <w:fldChar w:fldCharType="begin"/>
          </w:r>
          <w:r>
            <w:instrText xml:space="preserve"> PAGEREF _Toc2905 \h </w:instrText>
          </w:r>
          <w:r>
            <w:fldChar w:fldCharType="separate"/>
          </w:r>
          <w:r>
            <w:t>7</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"_Toc1182" </w:instrText>
          </w:r>
          <w:r>
            <w:fldChar w:fldCharType="separate"/>
          </w:r>
          <w:r>
            <w:rPr>
              <w:rFonts w:hint="eastAsia" w:ascii="宋体" w:hAnsi="宋体" w:eastAsia="宋体" w:cs="宋体"/>
              <w:bCs/>
              <w:szCs w:val="30"/>
            </w:rPr>
            <w:t>（二）竞赛方式、时间与成绩计算</w:t>
          </w:r>
          <w:r>
            <w:tab/>
          </w:r>
          <w:r>
            <w:fldChar w:fldCharType="begin"/>
          </w:r>
          <w:r>
            <w:instrText xml:space="preserve"> PAGEREF _Toc1182 \h </w:instrText>
          </w:r>
          <w:r>
            <w:fldChar w:fldCharType="separate"/>
          </w:r>
          <w:r>
            <w:t>8</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"_Toc14943" </w:instrText>
          </w:r>
          <w:r>
            <w:fldChar w:fldCharType="separate"/>
          </w:r>
          <w:r>
            <w:rPr>
              <w:rFonts w:hint="eastAsia" w:ascii="宋体" w:hAnsi="宋体" w:eastAsia="宋体" w:cs="宋体"/>
              <w:bCs/>
              <w:szCs w:val="30"/>
            </w:rPr>
            <w:t>（三）评判标准</w:t>
          </w:r>
          <w:r>
            <w:tab/>
          </w:r>
          <w:r>
            <w:fldChar w:fldCharType="begin"/>
          </w:r>
          <w:r>
            <w:instrText xml:space="preserve"> PAGEREF _Toc14943 \h </w:instrText>
          </w:r>
          <w:r>
            <w:fldChar w:fldCharType="separate"/>
          </w:r>
          <w:r>
            <w:t>8</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"_Toc27104" </w:instrText>
          </w:r>
          <w:r>
            <w:fldChar w:fldCharType="separate"/>
          </w:r>
          <w:r>
            <w:rPr>
              <w:rFonts w:hint="eastAsia" w:ascii="黑体" w:hAnsi="黑体" w:eastAsia="黑体" w:cs="黑体"/>
              <w:szCs w:val="32"/>
            </w:rPr>
            <w:t>三、 竞赛细则</w:t>
          </w:r>
          <w:r>
            <w:tab/>
          </w:r>
          <w:r>
            <w:fldChar w:fldCharType="begin"/>
          </w:r>
          <w:r>
            <w:instrText xml:space="preserve"> PAGEREF _Toc27104 \h </w:instrText>
          </w:r>
          <w:r>
            <w:fldChar w:fldCharType="separate"/>
          </w:r>
          <w:r>
            <w:t>11</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"_Toc2241" </w:instrText>
          </w:r>
          <w:r>
            <w:fldChar w:fldCharType="separate"/>
          </w:r>
          <w:r>
            <w:rPr>
              <w:rFonts w:hint="eastAsia" w:ascii="宋体" w:hAnsi="宋体" w:eastAsia="宋体" w:cs="宋体"/>
              <w:bCs/>
              <w:szCs w:val="30"/>
            </w:rPr>
            <w:t>（一）比赛日程安排</w:t>
          </w:r>
          <w:r>
            <w:tab/>
          </w:r>
          <w:r>
            <w:fldChar w:fldCharType="begin"/>
          </w:r>
          <w:r>
            <w:instrText xml:space="preserve"> PAGEREF _Toc2241 \h </w:instrText>
          </w:r>
          <w:r>
            <w:fldChar w:fldCharType="separate"/>
          </w:r>
          <w:r>
            <w:t>11</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"_Toc1250" </w:instrText>
          </w:r>
          <w:r>
            <w:fldChar w:fldCharType="separate"/>
          </w:r>
          <w:r>
            <w:rPr>
              <w:rFonts w:hint="eastAsia" w:ascii="宋体" w:hAnsi="宋体" w:eastAsia="宋体" w:cs="宋体"/>
              <w:bCs/>
              <w:szCs w:val="30"/>
            </w:rPr>
            <w:t>（二）工作要求</w:t>
          </w:r>
          <w:r>
            <w:tab/>
          </w:r>
          <w:r>
            <w:fldChar w:fldCharType="begin"/>
          </w:r>
          <w:r>
            <w:instrText xml:space="preserve"> PAGEREF _Toc1250 \h </w:instrText>
          </w:r>
          <w:r>
            <w:fldChar w:fldCharType="separate"/>
          </w:r>
          <w:r>
            <w:t>11</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"_Toc9054" </w:instrText>
          </w:r>
          <w:r>
            <w:fldChar w:fldCharType="separate"/>
          </w:r>
          <w:r>
            <w:rPr>
              <w:rFonts w:hint="eastAsia" w:ascii="宋体" w:hAnsi="宋体" w:eastAsia="宋体" w:cs="宋体"/>
              <w:bCs/>
              <w:szCs w:val="30"/>
            </w:rPr>
            <w:t>（三）赛场纪律</w:t>
          </w:r>
          <w:r>
            <w:tab/>
          </w:r>
          <w:r>
            <w:fldChar w:fldCharType="begin"/>
          </w:r>
          <w:r>
            <w:instrText xml:space="preserve"> PAGEREF _Toc9054 \h </w:instrText>
          </w:r>
          <w:r>
            <w:fldChar w:fldCharType="separate"/>
          </w:r>
          <w:r>
            <w:t>14</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"_Toc30652" </w:instrText>
          </w:r>
          <w:r>
            <w:fldChar w:fldCharType="separate"/>
          </w:r>
          <w:r>
            <w:rPr>
              <w:rFonts w:hint="eastAsia" w:ascii="黑体" w:hAnsi="黑体" w:eastAsia="黑体" w:cs="黑体"/>
              <w:szCs w:val="32"/>
            </w:rPr>
            <w:t>四、 竞赛场地、设施设备</w:t>
          </w:r>
          <w:r>
            <w:tab/>
          </w:r>
          <w:r>
            <w:fldChar w:fldCharType="begin"/>
          </w:r>
          <w:r>
            <w:instrText xml:space="preserve"> PAGEREF _Toc30652 \h </w:instrText>
          </w:r>
          <w:r>
            <w:fldChar w:fldCharType="separate"/>
          </w:r>
          <w:r>
            <w:t>15</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"_Toc29149" </w:instrText>
          </w:r>
          <w:r>
            <w:fldChar w:fldCharType="separate"/>
          </w:r>
          <w:r>
            <w:rPr>
              <w:rFonts w:hint="eastAsia" w:ascii="宋体" w:hAnsi="宋体" w:eastAsia="宋体" w:cs="宋体"/>
              <w:bCs/>
              <w:szCs w:val="30"/>
            </w:rPr>
            <w:t>（一）赛场规格要求</w:t>
          </w:r>
          <w:r>
            <w:tab/>
          </w:r>
          <w:r>
            <w:fldChar w:fldCharType="begin"/>
          </w:r>
          <w:r>
            <w:instrText xml:space="preserve"> PAGEREF _Toc29149 \h </w:instrText>
          </w:r>
          <w:r>
            <w:fldChar w:fldCharType="separate"/>
          </w:r>
          <w:r>
            <w:t>15</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"_Toc18875" </w:instrText>
          </w:r>
          <w:r>
            <w:fldChar w:fldCharType="separate"/>
          </w:r>
          <w:r>
            <w:rPr>
              <w:rFonts w:hint="eastAsia" w:ascii="宋体" w:hAnsi="宋体" w:eastAsia="宋体" w:cs="宋体"/>
              <w:bCs/>
              <w:szCs w:val="30"/>
            </w:rPr>
            <w:t>（二）场地布局</w:t>
          </w:r>
          <w:r>
            <w:tab/>
          </w:r>
          <w:r>
            <w:fldChar w:fldCharType="begin"/>
          </w:r>
          <w:r>
            <w:instrText xml:space="preserve"> PAGEREF _Toc18875 \h </w:instrText>
          </w:r>
          <w:r>
            <w:fldChar w:fldCharType="separate"/>
          </w:r>
          <w:r>
            <w:t>15</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"_Toc11150" </w:instrText>
          </w:r>
          <w:r>
            <w:fldChar w:fldCharType="separate"/>
          </w:r>
          <w:r>
            <w:rPr>
              <w:rFonts w:hint="eastAsia" w:ascii="宋体" w:hAnsi="宋体" w:eastAsia="宋体" w:cs="宋体"/>
              <w:bCs/>
              <w:szCs w:val="30"/>
            </w:rPr>
            <w:t>（三）基础设施清单</w:t>
          </w:r>
          <w:r>
            <w:tab/>
          </w:r>
          <w:r>
            <w:fldChar w:fldCharType="begin"/>
          </w:r>
          <w:r>
            <w:instrText xml:space="preserve"> PAGEREF _Toc11150 \h </w:instrText>
          </w:r>
          <w:r>
            <w:fldChar w:fldCharType="separate"/>
          </w:r>
          <w:r>
            <w:t>15</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"_Toc21825" </w:instrText>
          </w:r>
          <w:r>
            <w:fldChar w:fldCharType="separate"/>
          </w:r>
          <w:r>
            <w:rPr>
              <w:rFonts w:hint="eastAsia" w:ascii="黑体" w:hAnsi="黑体" w:eastAsia="黑体" w:cs="黑体"/>
              <w:szCs w:val="32"/>
            </w:rPr>
            <w:t>五、 安全、健康要求</w:t>
          </w:r>
          <w:r>
            <w:tab/>
          </w:r>
          <w:r>
            <w:fldChar w:fldCharType="begin"/>
          </w:r>
          <w:r>
            <w:instrText xml:space="preserve"> PAGEREF _Toc21825 \h </w:instrText>
          </w:r>
          <w:r>
            <w:fldChar w:fldCharType="separate"/>
          </w:r>
          <w:r>
            <w:t>16</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"_Toc2131" </w:instrText>
          </w:r>
          <w:r>
            <w:fldChar w:fldCharType="separate"/>
          </w:r>
          <w:r>
            <w:rPr>
              <w:rFonts w:hint="eastAsia" w:ascii="宋体" w:hAnsi="宋体" w:eastAsia="宋体" w:cs="宋体"/>
              <w:bCs/>
              <w:szCs w:val="30"/>
            </w:rPr>
            <w:t>（一）选手安全防护措施要求</w:t>
          </w:r>
          <w:r>
            <w:tab/>
          </w:r>
          <w:r>
            <w:fldChar w:fldCharType="begin"/>
          </w:r>
          <w:r>
            <w:instrText xml:space="preserve"> PAGEREF _Toc2131 \h </w:instrText>
          </w:r>
          <w:r>
            <w:fldChar w:fldCharType="separate"/>
          </w:r>
          <w:r>
            <w:t>16</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"_Toc17799" </w:instrText>
          </w:r>
          <w:r>
            <w:fldChar w:fldCharType="separate"/>
          </w:r>
          <w:r>
            <w:rPr>
              <w:rFonts w:hint="eastAsia" w:ascii="宋体" w:hAnsi="宋体" w:eastAsia="宋体" w:cs="宋体"/>
              <w:bCs/>
              <w:szCs w:val="30"/>
            </w:rPr>
            <w:t>（二）熟知有关用电安全说明</w:t>
          </w:r>
          <w:r>
            <w:tab/>
          </w:r>
          <w:r>
            <w:fldChar w:fldCharType="begin"/>
          </w:r>
          <w:r>
            <w:instrText xml:space="preserve"> PAGEREF _Toc17799 \h </w:instrText>
          </w:r>
          <w:r>
            <w:fldChar w:fldCharType="separate"/>
          </w:r>
          <w:r>
            <w:t>16</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"_Toc5599" </w:instrText>
          </w:r>
          <w:r>
            <w:fldChar w:fldCharType="separate"/>
          </w:r>
          <w:r>
            <w:rPr>
              <w:rFonts w:hint="eastAsia" w:ascii="宋体" w:hAnsi="宋体" w:eastAsia="宋体" w:cs="宋体"/>
              <w:bCs/>
              <w:szCs w:val="30"/>
            </w:rPr>
            <w:t>（三）环境卫生</w:t>
          </w:r>
          <w:r>
            <w:tab/>
          </w:r>
          <w:r>
            <w:fldChar w:fldCharType="begin"/>
          </w:r>
          <w:r>
            <w:instrText xml:space="preserve"> PAGEREF _Toc5599 \h </w:instrText>
          </w:r>
          <w:r>
            <w:fldChar w:fldCharType="separate"/>
          </w:r>
          <w:r>
            <w:t>16</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"_Toc11113" </w:instrText>
          </w:r>
          <w:r>
            <w:fldChar w:fldCharType="separate"/>
          </w:r>
          <w:r>
            <w:rPr>
              <w:rFonts w:hint="eastAsia" w:ascii="宋体" w:hAnsi="宋体" w:eastAsia="宋体" w:cs="宋体"/>
              <w:bCs/>
              <w:szCs w:val="30"/>
            </w:rPr>
            <w:t>（四）有毒有害物品的管理和限制</w:t>
          </w:r>
          <w:r>
            <w:tab/>
          </w:r>
          <w:r>
            <w:fldChar w:fldCharType="begin"/>
          </w:r>
          <w:r>
            <w:instrText xml:space="preserve"> PAGEREF _Toc11113 \h </w:instrText>
          </w:r>
          <w:r>
            <w:fldChar w:fldCharType="separate"/>
          </w:r>
          <w:r>
            <w:t>17</w:t>
          </w:r>
          <w:r>
            <w:fldChar w:fldCharType="end"/>
          </w:r>
          <w:r>
            <w:fldChar w:fldCharType="end"/>
          </w:r>
        </w:p>
        <w:p>
          <w:pPr>
            <w:pStyle w:val="9"/>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"_Toc15303" </w:instrText>
          </w:r>
          <w:r>
            <w:fldChar w:fldCharType="separate"/>
          </w:r>
          <w:r>
            <w:rPr>
              <w:rFonts w:hint="eastAsia" w:ascii="宋体" w:hAnsi="宋体" w:eastAsia="宋体" w:cs="宋体"/>
              <w:bCs/>
              <w:szCs w:val="30"/>
            </w:rPr>
            <w:t>（五）医疗设备和措施</w:t>
          </w:r>
          <w:r>
            <w:tab/>
          </w:r>
          <w:r>
            <w:fldChar w:fldCharType="begin"/>
          </w:r>
          <w:r>
            <w:instrText xml:space="preserve"> PAGEREF _Toc15303 \h </w:instrText>
          </w:r>
          <w:r>
            <w:fldChar w:fldCharType="separate"/>
          </w:r>
          <w:r>
            <w:t>17</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"_Toc10668" </w:instrText>
          </w:r>
          <w:r>
            <w:fldChar w:fldCharType="separate"/>
          </w:r>
          <w:r>
            <w:rPr>
              <w:rFonts w:hint="eastAsia" w:ascii="黑体" w:hAnsi="黑体" w:eastAsia="黑体" w:cs="黑体"/>
              <w:szCs w:val="28"/>
            </w:rPr>
            <w:t>附件1 样题</w:t>
          </w:r>
          <w:r>
            <w:tab/>
          </w:r>
          <w:r>
            <w:fldChar w:fldCharType="begin"/>
          </w:r>
          <w:r>
            <w:instrText xml:space="preserve"> PAGEREF _Toc10668 \h </w:instrText>
          </w:r>
          <w:r>
            <w:fldChar w:fldCharType="separate"/>
          </w:r>
          <w:r>
            <w:t>17</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"_Toc3381" </w:instrText>
          </w:r>
          <w:r>
            <w:fldChar w:fldCharType="separate"/>
          </w:r>
          <w:r>
            <w:rPr>
              <w:rFonts w:hint="eastAsia" w:ascii="黑体" w:hAnsi="黑体" w:eastAsia="黑体" w:cs="黑体"/>
              <w:szCs w:val="28"/>
            </w:rPr>
            <w:t>附件2 砌筑项目场地布局示意图</w:t>
          </w:r>
          <w:r>
            <w:tab/>
          </w:r>
          <w:r>
            <w:fldChar w:fldCharType="begin"/>
          </w:r>
          <w:r>
            <w:instrText xml:space="preserve"> PAGEREF _Toc3381 \h </w:instrText>
          </w:r>
          <w:r>
            <w:fldChar w:fldCharType="separate"/>
          </w:r>
          <w:r>
            <w:t>19</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fldChar w:fldCharType="begin"/>
          </w:r>
          <w:r>
            <w:instrText xml:space="preserve"> HYPERLINK \l "_Toc31836" </w:instrText>
          </w:r>
          <w:r>
            <w:fldChar w:fldCharType="separate"/>
          </w:r>
          <w:r>
            <w:rPr>
              <w:rFonts w:hint="eastAsia" w:ascii="黑体" w:hAnsi="黑体" w:eastAsia="黑体" w:cs="黑体"/>
              <w:szCs w:val="28"/>
            </w:rPr>
            <w:t>附件3</w:t>
          </w:r>
          <w:r>
            <w:tab/>
          </w:r>
          <w:r>
            <w:fldChar w:fldCharType="begin"/>
          </w:r>
          <w:r>
            <w:instrText xml:space="preserve"> PAGEREF _Toc31836 \h </w:instrText>
          </w:r>
          <w:r>
            <w:fldChar w:fldCharType="separate"/>
          </w:r>
          <w:r>
            <w:t>20</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ind w:firstLine="420"/>
          </w:pPr>
          <w:r>
            <w:fldChar w:fldCharType="begin"/>
          </w:r>
          <w:r>
            <w:instrText xml:space="preserve"> HYPERLINK \l "_Toc15694" </w:instrText>
          </w:r>
          <w:r>
            <w:fldChar w:fldCharType="separate"/>
          </w:r>
          <w:r>
            <w:rPr>
              <w:rFonts w:hint="eastAsia" w:ascii="黑体" w:hAnsi="黑体" w:eastAsia="黑体" w:cs="黑体"/>
              <w:szCs w:val="28"/>
            </w:rPr>
            <w:t>表1  砌筑项目赛场统一提供设备材料清单表</w:t>
          </w:r>
          <w:r>
            <w:tab/>
          </w:r>
          <w:r>
            <w:fldChar w:fldCharType="begin"/>
          </w:r>
          <w:r>
            <w:instrText xml:space="preserve"> PAGEREF _Toc15694 \h </w:instrText>
          </w:r>
          <w:r>
            <w:fldChar w:fldCharType="separate"/>
          </w:r>
          <w:r>
            <w:t>20</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ind w:firstLine="420"/>
          </w:pPr>
          <w:r>
            <w:fldChar w:fldCharType="begin"/>
          </w:r>
          <w:r>
            <w:instrText xml:space="preserve"> HYPERLINK \l "_Toc31798" </w:instrText>
          </w:r>
          <w:r>
            <w:fldChar w:fldCharType="separate"/>
          </w:r>
          <w:r>
            <w:rPr>
              <w:rFonts w:hint="eastAsia" w:ascii="黑体" w:hAnsi="黑体" w:eastAsia="黑体" w:cs="黑体"/>
              <w:szCs w:val="28"/>
            </w:rPr>
            <w:t>表2  砌筑项目选手自带工具、材料清单表</w:t>
          </w:r>
          <w:r>
            <w:tab/>
          </w:r>
          <w:r>
            <w:fldChar w:fldCharType="begin"/>
          </w:r>
          <w:r>
            <w:instrText xml:space="preserve"> PAGEREF _Toc31798 \h </w:instrText>
          </w:r>
          <w:r>
            <w:fldChar w:fldCharType="separate"/>
          </w:r>
          <w:r>
            <w:t>20</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ind w:firstLine="420"/>
          </w:pPr>
          <w:r>
            <w:fldChar w:fldCharType="begin"/>
          </w:r>
          <w:r>
            <w:instrText xml:space="preserve"> HYPERLINK \l "_Toc29559" </w:instrText>
          </w:r>
          <w:r>
            <w:fldChar w:fldCharType="separate"/>
          </w:r>
          <w:r>
            <w:rPr>
              <w:rFonts w:hint="eastAsia" w:ascii="黑体" w:hAnsi="黑体" w:eastAsia="黑体" w:cs="黑体"/>
              <w:szCs w:val="28"/>
            </w:rPr>
            <w:t>表3  禁止自带使用的设备材料</w:t>
          </w:r>
          <w:r>
            <w:tab/>
          </w:r>
          <w:r>
            <w:fldChar w:fldCharType="begin"/>
          </w:r>
          <w:r>
            <w:instrText xml:space="preserve"> PAGEREF _Toc29559 \h </w:instrText>
          </w:r>
          <w:r>
            <w:fldChar w:fldCharType="separate"/>
          </w:r>
          <w:r>
            <w:t>21</w:t>
          </w:r>
          <w:r>
            <w:fldChar w:fldCharType="end"/>
          </w:r>
          <w:r>
            <w:fldChar w:fldCharType="end"/>
          </w:r>
        </w:p>
        <w:p>
          <w:pPr>
            <w:pStyle w:val="8"/>
            <w:keepNext w:val="0"/>
            <w:keepLines w:val="0"/>
            <w:pageBreakBefore w:val="0"/>
            <w:tabs>
              <w:tab w:val="right" w:leader="dot" w:pos="8306"/>
            </w:tabs>
            <w:wordWrap/>
            <w:overflowPunct/>
            <w:topLinePunct w:val="0"/>
            <w:bidi w:val="0"/>
            <w:adjustRightInd w:val="0"/>
            <w:snapToGrid w:val="0"/>
            <w:spacing w:line="360" w:lineRule="auto"/>
          </w:pPr>
          <w:r>
            <w:rPr>
              <w:rFonts w:hint="eastAsia" w:ascii="黑体" w:hAnsi="黑体" w:eastAsia="黑体" w:cs="黑体"/>
              <w:szCs w:val="40"/>
            </w:rPr>
            <w:t xml:space="preserve">附件4 </w:t>
          </w:r>
          <w:r>
            <w:fldChar w:fldCharType="begin"/>
          </w:r>
          <w:r>
            <w:instrText xml:space="preserve"> HYPERLINK \l "_Toc1590" </w:instrText>
          </w:r>
          <w:r>
            <w:fldChar w:fldCharType="separate"/>
          </w:r>
          <w:r>
            <w:rPr>
              <w:rFonts w:hint="eastAsia" w:ascii="黑体" w:hAnsi="黑体" w:eastAsia="黑体"/>
              <w:szCs w:val="28"/>
            </w:rPr>
            <w:t>许昌市第一届职业技能大赛</w:t>
          </w:r>
          <w:r>
            <w:rPr>
              <w:rFonts w:hint="eastAsia" w:ascii="黑体" w:hAnsi="黑体" w:eastAsia="黑体"/>
              <w:szCs w:val="28"/>
            </w:rPr>
            <w:fldChar w:fldCharType="end"/>
          </w:r>
          <w:r>
            <w:fldChar w:fldCharType="begin"/>
          </w:r>
          <w:r>
            <w:instrText xml:space="preserve"> HYPERLINK \l "_Toc26405" </w:instrText>
          </w:r>
          <w:r>
            <w:fldChar w:fldCharType="separate"/>
          </w:r>
          <w:r>
            <w:rPr>
              <w:rFonts w:hint="eastAsia" w:ascii="黑体" w:hAnsi="黑体" w:eastAsia="黑体"/>
              <w:szCs w:val="28"/>
            </w:rPr>
            <w:t>砌筑项目评分表（样表）</w:t>
          </w:r>
          <w:r>
            <w:tab/>
          </w:r>
          <w:r>
            <w:fldChar w:fldCharType="begin"/>
          </w:r>
          <w:r>
            <w:instrText xml:space="preserve"> PAGEREF _Toc26405 \h </w:instrText>
          </w:r>
          <w:r>
            <w:fldChar w:fldCharType="separate"/>
          </w:r>
          <w:r>
            <w:t>22</w:t>
          </w:r>
          <w:r>
            <w:fldChar w:fldCharType="end"/>
          </w:r>
          <w:r>
            <w:fldChar w:fldCharType="end"/>
          </w:r>
        </w:p>
        <w:p>
          <w:pPr>
            <w:keepNext w:val="0"/>
            <w:keepLines w:val="0"/>
            <w:pageBreakBefore w:val="0"/>
            <w:wordWrap/>
            <w:overflowPunct/>
            <w:topLinePunct w:val="0"/>
            <w:bidi w:val="0"/>
            <w:adjustRightInd w:val="0"/>
            <w:snapToGrid w:val="0"/>
            <w:spacing w:line="360" w:lineRule="auto"/>
            <w:ind w:firstLine="420" w:firstLineChars="200"/>
            <w:rPr>
              <w:rFonts w:ascii="黑体" w:hAnsi="黑体" w:eastAsia="黑体" w:cs="黑体"/>
              <w:sz w:val="32"/>
              <w:szCs w:val="40"/>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Cs w:val="40"/>
            </w:rPr>
            <w:fldChar w:fldCharType="end"/>
          </w:r>
        </w:p>
      </w:sdtContent>
    </w:sdt>
    <w:p>
      <w:pPr>
        <w:keepNext w:val="0"/>
        <w:keepLines w:val="0"/>
        <w:pageBreakBefore w:val="0"/>
        <w:numPr>
          <w:ilvl w:val="0"/>
          <w:numId w:val="2"/>
        </w:numPr>
        <w:wordWrap/>
        <w:overflowPunct/>
        <w:topLinePunct w:val="0"/>
        <w:bidi w:val="0"/>
        <w:adjustRightInd w:val="0"/>
        <w:snapToGrid w:val="0"/>
        <w:spacing w:line="360" w:lineRule="auto"/>
        <w:outlineLvl w:val="0"/>
        <w:rPr>
          <w:rFonts w:ascii="黑体" w:hAnsi="黑体" w:eastAsia="黑体" w:cs="黑体"/>
          <w:sz w:val="32"/>
          <w:szCs w:val="32"/>
        </w:rPr>
      </w:pPr>
      <w:bookmarkStart w:id="10" w:name="_Toc29521"/>
      <w:r>
        <w:rPr>
          <w:rFonts w:hint="eastAsia" w:ascii="黑体" w:hAnsi="黑体" w:eastAsia="黑体" w:cs="黑体"/>
          <w:sz w:val="32"/>
          <w:szCs w:val="32"/>
        </w:rPr>
        <w:t>技术描述</w:t>
      </w:r>
      <w:bookmarkEnd w:id="10"/>
    </w:p>
    <w:p>
      <w:pPr>
        <w:keepNext w:val="0"/>
        <w:keepLines w:val="0"/>
        <w:pageBreakBefore w:val="0"/>
        <w:numPr>
          <w:ilvl w:val="0"/>
          <w:numId w:val="3"/>
        </w:numPr>
        <w:wordWrap/>
        <w:overflowPunct/>
        <w:topLinePunct w:val="0"/>
        <w:bidi w:val="0"/>
        <w:adjustRightInd w:val="0"/>
        <w:snapToGrid w:val="0"/>
        <w:spacing w:line="360" w:lineRule="auto"/>
        <w:outlineLvl w:val="1"/>
        <w:rPr>
          <w:rFonts w:ascii="宋体" w:hAnsi="宋体" w:eastAsia="宋体" w:cs="宋体"/>
          <w:b/>
          <w:bCs/>
          <w:sz w:val="30"/>
          <w:szCs w:val="30"/>
        </w:rPr>
      </w:pPr>
      <w:bookmarkStart w:id="11" w:name="_Toc4811"/>
      <w:r>
        <w:rPr>
          <w:rFonts w:hint="eastAsia" w:ascii="宋体" w:hAnsi="宋体" w:eastAsia="宋体" w:cs="宋体"/>
          <w:b/>
          <w:bCs/>
          <w:sz w:val="30"/>
          <w:szCs w:val="30"/>
        </w:rPr>
        <w:t>项目概要</w:t>
      </w:r>
      <w:bookmarkEnd w:id="11"/>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砌筑主要在工业与民用建筑施工中进行，包括砌砖、石、砌块及轻质墙板等内容，通过上述相关 工作， 建造内外墙、隔板、烟囱和其他建筑物及构筑物。</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砌筑工通过技能培训后要能够从事以下工作：</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•选择和制备灰浆；</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•修建内、外墙和隔板；</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•在砌筑墙上安装预埋材料；</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•在工业建筑和民用建筑烟囱上砌筑弧形砖石；</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•在烟囱和烟窗等上贴耐火砖；</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•在窑炉和贮水池等上贴耐酸砖；</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•修建园墙、人行小道、拱门、露台和阳台；</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•精确切割石头、砖、木料和其他高密度砌筑材料；</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•用螺栓、拉筋或金属网加固砌筑结构。</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要成为一名成功的砌筑工需要忍耐力、集中精力、有计划和合理安排时间、使用不同手工技能、</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具有较强的砌筑技能、注重细节和整洁等。参赛选手在抽选到的工位上，在8个小时内， 独立完成一个砌筑模块（竞赛试题）的砌筑， 包括但不限于识图、放样、切砖（砌块）、砌筑、抹灰、 勾缝、清洁砌筑作品等工作。</w:t>
      </w:r>
    </w:p>
    <w:p>
      <w:pPr>
        <w:keepNext w:val="0"/>
        <w:keepLines w:val="0"/>
        <w:pageBreakBefore w:val="0"/>
        <w:numPr>
          <w:ilvl w:val="0"/>
          <w:numId w:val="3"/>
        </w:numPr>
        <w:wordWrap/>
        <w:overflowPunct/>
        <w:topLinePunct w:val="0"/>
        <w:bidi w:val="0"/>
        <w:adjustRightInd w:val="0"/>
        <w:snapToGrid w:val="0"/>
        <w:spacing w:line="360" w:lineRule="auto"/>
        <w:outlineLvl w:val="1"/>
        <w:rPr>
          <w:rFonts w:ascii="宋体" w:hAnsi="宋体" w:eastAsia="宋体" w:cs="宋体"/>
          <w:b/>
          <w:bCs/>
          <w:sz w:val="30"/>
          <w:szCs w:val="30"/>
        </w:rPr>
      </w:pPr>
      <w:bookmarkStart w:id="12" w:name="_Toc16176"/>
      <w:r>
        <w:rPr>
          <w:rFonts w:hint="eastAsia" w:ascii="宋体" w:hAnsi="宋体" w:eastAsia="宋体" w:cs="宋体"/>
          <w:b/>
          <w:bCs/>
          <w:sz w:val="30"/>
          <w:szCs w:val="30"/>
        </w:rPr>
        <w:t>基本知识与能力要求</w:t>
      </w:r>
      <w:bookmarkEnd w:id="12"/>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该赛项以砌筑工高级（三级）的国家职业技能标准为依据，砌筑从业人员需熟练掌握以下知识和技能：</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图纸识图：主要目标在于详细研究图纸，读图并明确各类尺寸，辨明墙体尺寸，各类砖块的搭接组砌关系，找出图中的关键点和难点，计算出相关的尺寸，决定施工工艺的流程步骤，掌握时间的分配与控制，为后续放样、切割、组砌工作做好计划及时间规划。</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2.测量放样：本部分包括砖块的放样以及地面的放样。</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砖块放样：按照识读图纸中所得出的尺寸及放样点，在所给的砖块上进行放样，以便于后期切割。</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地面放样：按照试题所给的图纸，在工位地面放样出施工所需尺寸。</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3.砖块切割：根据测量放样的放样线，使用带水切割机对砖块进行切割以及修整。</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4.砖块组砌：按测量放样中在地面所放样出的控制线，按图施工，将整砖及切割好的砖块进行组砌。</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5.勾缝：按图纸中的要求，完成不同形式的勾缝。</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6.文明施工：铺灰挤浆时不得污染墙面，身体不得摩擦墙面，随时保证场地整洁有序。</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本竞赛是对该项技能的展示与评估，仅测试实际操作方面的能力。除如上几方面能力外，还包括按砌筑工国家职业技能标准要求高级砌筑工所具备的其他能力。</w:t>
      </w:r>
    </w:p>
    <w:p>
      <w:pPr>
        <w:keepNext w:val="0"/>
        <w:keepLines w:val="0"/>
        <w:pageBreakBefore w:val="0"/>
        <w:wordWrap/>
        <w:overflowPunct/>
        <w:topLinePunct w:val="0"/>
        <w:bidi w:val="0"/>
        <w:spacing w:line="360" w:lineRule="auto"/>
        <w:ind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具体见下表：</w:t>
      </w:r>
    </w:p>
    <w:tbl>
      <w:tblPr>
        <w:tblStyle w:val="15"/>
        <w:tblW w:w="9324" w:type="dxa"/>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861"/>
        <w:gridCol w:w="6883"/>
        <w:gridCol w:w="1580"/>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7653" w:type="dxa"/>
            <w:gridSpan w:val="2"/>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相关要求</w:t>
            </w:r>
          </w:p>
        </w:tc>
        <w:tc>
          <w:tcPr>
            <w:tcW w:w="156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权重比例(%)</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1</w:t>
            </w:r>
          </w:p>
        </w:tc>
        <w:tc>
          <w:tcPr>
            <w:tcW w:w="6802"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工作组织和管理</w:t>
            </w:r>
          </w:p>
        </w:tc>
        <w:tc>
          <w:tcPr>
            <w:tcW w:w="1561" w:type="dxa"/>
            <w:vMerge w:val="restart"/>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15</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238"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基本</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知识</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必须使用个人防护装备的情况</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 xml:space="preserve">所有工具和设备的目的、用途、护理、维护和存储和安全隐患 </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材料的用途、使用、护理和储存</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适用于“绿色”材料和回收利用的可持续性措施</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工作实践可以减少浪费并帮助管理成本</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工作流程和测量的原则</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规划、 准确性、检查和关注所有工作实践中细节的重要性</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489"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工作</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能力</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贡献自己的想法，展现创新和变革的开放性</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遵守健康、安全和环境标准、规则和规定</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选择并使用适当的个人防护装备，包括安全鞋，耳朵和眼睛保护装置</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 xml:space="preserve">选择、使用、清洁、维护和安全存放所有工具和设备 </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选择、使用和安全存储所有材料</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规划和维护工作区域以最大限度地提高效率</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准确测量</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高效工作，定期检查进度和结果</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建立并保持高质量的标准和工作流程及时发现问题并解决问题</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2</w:t>
            </w:r>
          </w:p>
        </w:tc>
        <w:tc>
          <w:tcPr>
            <w:tcW w:w="6802"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解读图纸</w:t>
            </w:r>
          </w:p>
        </w:tc>
        <w:tc>
          <w:tcPr>
            <w:tcW w:w="1561" w:type="dxa"/>
            <w:vMerge w:val="restart"/>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10</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基本</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知识</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从事新材料，新工艺等行业</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必须包含在施工图中的基本信息</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检查缺失信息或错误，预测和解决问题的重要性</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几何在建筑过程中的作用和使用</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数学过程和问题解决</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在工作过程中可能发生的常见问题类型</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解决问题的诊断方法</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成本核算和定价材料，设备和工作流程的方法</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工作</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能力</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准确地解释所有的计划、高程、分部和放大的细节</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确定水平和垂直关键尺寸和所有角度</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确定弯曲的工作和砂浆联合完成</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解释所有项目特征及其所需的施工方法</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建立需要特殊设备或模板的任何功能并提供这些功能 确定绘图错误或需要澄清的项目</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确定并检查构建指定项目所需的材料数量</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准确测量和计算</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产生成本和时间估计</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3</w:t>
            </w:r>
          </w:p>
        </w:tc>
        <w:tc>
          <w:tcPr>
            <w:tcW w:w="6802"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lang w:eastAsia="zh-CN"/>
              </w:rPr>
              <w:t>放样</w:t>
            </w:r>
            <w:r>
              <w:rPr>
                <w:rFonts w:hint="eastAsia" w:ascii="黑体" w:hAnsi="黑体" w:eastAsia="黑体" w:cs="黑体"/>
              </w:rPr>
              <w:t>和测量</w:t>
            </w:r>
          </w:p>
        </w:tc>
        <w:tc>
          <w:tcPr>
            <w:tcW w:w="1561" w:type="dxa"/>
            <w:vMerge w:val="restart"/>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20</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基本</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知识</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可能有助于施工的模板、建筑辅助工具</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计算以协助测量和检查项目</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几何技术来协助该项目</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工作</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能力</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对项目进行可视化和思考，尽早发现潜在挑战并采取必要的 预防措施</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根据计划和规范确定项目的地点、起点和路线</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列出高端技术设计，包括：砖块、 倾斜、弯曲的凸出、凹陷的砖砌、拱门、连接、 装饰性的结合、以及墙体准确解释图纸的尺寸，并确保设计在给定的容差范围内</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检查所有的水平和垂直角度</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 xml:space="preserve">铺设第一道砖，检查所有角度，曲线和尺寸是否正确 </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列出项目的基准点</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4</w:t>
            </w:r>
          </w:p>
        </w:tc>
        <w:tc>
          <w:tcPr>
            <w:tcW w:w="6802"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施工</w:t>
            </w:r>
          </w:p>
        </w:tc>
        <w:tc>
          <w:tcPr>
            <w:tcW w:w="1561" w:type="dxa"/>
            <w:vMerge w:val="restart"/>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r>
              <w:rPr>
                <w:rFonts w:hint="eastAsia" w:ascii="黑体" w:hAnsi="黑体" w:eastAsia="黑体" w:cs="黑体"/>
              </w:rPr>
              <w:t>40</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基本</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知识</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健康、安全和环境要求对项目的影响</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精确的切割和砌筑砖形成华丽的特征和细节</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手工或机器切割技术用于不同的材料</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定位和砌筑正确的砖块位置</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工作</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能力</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按照提供的图纸构建项目</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构建模板或拱形支撑以满足设计要求</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选择符合形状和角度的砖块，拒绝砖块碎块</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构建砖砌体，保持尺寸精度在给定的容差范围内</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定期检查尺寸，并在必要时更正</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保持水平的准确度在给定的容差范围内</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检查砖的底面是水平的</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在给定的容差范围内保持铅垂的准确性</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rPr>
            </w:pPr>
            <w:r>
              <w:rPr>
                <w:rFonts w:hint="eastAsia" w:ascii="仿宋_GB2312" w:hAnsi="仿宋_GB2312" w:eastAsia="仿宋_GB2312" w:cs="仿宋_GB2312"/>
              </w:rPr>
              <w:t>检查材料的质量</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 xml:space="preserve">保持水平，垂直或对角线对齐的精度在给定的容差范围内 </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定期检查对齐，确保所有表面平整</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保持标准公差范围内的精度</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定期检查角度并在必要时进行更正</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打磨砖砌体的小部件，使其光滑一致</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建设基本的找平确保表面平整，并在给定的容差内</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5</w:t>
            </w:r>
          </w:p>
        </w:tc>
        <w:tc>
          <w:tcPr>
            <w:tcW w:w="6802"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完成和演示</w:t>
            </w:r>
          </w:p>
        </w:tc>
        <w:tc>
          <w:tcPr>
            <w:tcW w:w="1561" w:type="dxa"/>
            <w:vMerge w:val="restart"/>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15</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基本</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知识</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按照规定提供的成果整理的重要性</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材料的砂浆固化时间和吸收率</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演示内容包括刷砖和清理砖块，加上工作区域的整理和清理</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工作</w:t>
            </w:r>
          </w:p>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能力</w:t>
            </w:r>
          </w:p>
        </w:tc>
        <w:tc>
          <w:tcPr>
            <w:tcW w:w="6802" w:type="dxa"/>
            <w:tcBorders>
              <w:tl2br w:val="nil"/>
              <w:tr2bl w:val="nil"/>
            </w:tcBorders>
            <w:vAlign w:val="center"/>
          </w:tcPr>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准确地完成放样绘图解释</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切割砖块平直、光滑、无碎屑</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表面处理：倾斜、圆形、冲洗和凹陷所有连接饱满、没有孔和光滑的完成</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不产生锋利的边缘和轻脆的外观</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 xml:space="preserve">清理砖砌体以清除任何痕迹、污迹，并从表面去除碎屑 </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将工作区域放在合适的位置，以便进行检查和后续工作</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总计工作过程对结果的正面和负面的差异影响</w:t>
            </w:r>
          </w:p>
          <w:p>
            <w:pPr>
              <w:pStyle w:val="14"/>
              <w:keepNext w:val="0"/>
              <w:keepLines w:val="0"/>
              <w:pageBreakBefore w:val="0"/>
              <w:numPr>
                <w:ilvl w:val="0"/>
                <w:numId w:val="4"/>
              </w:numPr>
              <w:wordWrap/>
              <w:overflowPunct/>
              <w:topLinePunct w:val="0"/>
              <w:autoSpaceDE w:val="0"/>
              <w:autoSpaceDN w:val="0"/>
              <w:bidi w:val="0"/>
              <w:adjustRightInd w:val="0"/>
              <w:snapToGrid w:val="0"/>
              <w:spacing w:line="360" w:lineRule="auto"/>
              <w:rPr>
                <w:rFonts w:ascii="仿宋_GB2312" w:hAnsi="仿宋_GB2312" w:eastAsia="仿宋_GB2312" w:cs="仿宋_GB2312"/>
                <w:lang w:eastAsia="zh-CN"/>
              </w:rPr>
            </w:pPr>
            <w:r>
              <w:rPr>
                <w:rFonts w:hint="eastAsia" w:ascii="仿宋_GB2312" w:hAnsi="仿宋_GB2312" w:eastAsia="仿宋_GB2312" w:cs="仿宋_GB2312"/>
                <w:lang w:eastAsia="zh-CN"/>
              </w:rPr>
              <w:t>组织收集废物，以便可以有效地处理或回收</w:t>
            </w:r>
          </w:p>
        </w:tc>
        <w:tc>
          <w:tcPr>
            <w:tcW w:w="1561" w:type="dxa"/>
            <w:vMerge w:val="continue"/>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5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合计</w:t>
            </w:r>
          </w:p>
        </w:tc>
        <w:tc>
          <w:tcPr>
            <w:tcW w:w="6802"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lang w:eastAsia="zh-CN"/>
              </w:rPr>
            </w:pPr>
          </w:p>
        </w:tc>
        <w:tc>
          <w:tcPr>
            <w:tcW w:w="1561" w:type="dxa"/>
            <w:tcBorders>
              <w:tl2br w:val="nil"/>
              <w:tr2bl w:val="nil"/>
            </w:tcBorders>
            <w:vAlign w:val="center"/>
          </w:tcPr>
          <w:p>
            <w:pPr>
              <w:pStyle w:val="14"/>
              <w:keepNext w:val="0"/>
              <w:keepLines w:val="0"/>
              <w:pageBreakBefore w:val="0"/>
              <w:wordWrap/>
              <w:overflowPunct/>
              <w:topLinePunct w:val="0"/>
              <w:autoSpaceDE w:val="0"/>
              <w:autoSpaceDN w:val="0"/>
              <w:bidi w:val="0"/>
              <w:adjustRightInd w:val="0"/>
              <w:snapToGrid w:val="0"/>
              <w:spacing w:line="360" w:lineRule="auto"/>
              <w:jc w:val="center"/>
              <w:rPr>
                <w:rFonts w:ascii="黑体" w:hAnsi="黑体" w:eastAsia="黑体" w:cs="黑体"/>
              </w:rPr>
            </w:pPr>
            <w:r>
              <w:rPr>
                <w:rFonts w:hint="eastAsia" w:ascii="黑体" w:hAnsi="黑体" w:eastAsia="黑体" w:cs="黑体"/>
              </w:rPr>
              <w:t>100</w:t>
            </w:r>
          </w:p>
        </w:tc>
      </w:tr>
    </w:tbl>
    <w:p>
      <w:pPr>
        <w:keepNext w:val="0"/>
        <w:keepLines w:val="0"/>
        <w:pageBreakBefore w:val="0"/>
        <w:numPr>
          <w:ilvl w:val="0"/>
          <w:numId w:val="3"/>
        </w:numPr>
        <w:wordWrap/>
        <w:overflowPunct/>
        <w:topLinePunct w:val="0"/>
        <w:bidi w:val="0"/>
        <w:adjustRightInd w:val="0"/>
        <w:snapToGrid w:val="0"/>
        <w:spacing w:line="360" w:lineRule="auto"/>
        <w:outlineLvl w:val="1"/>
        <w:rPr>
          <w:rFonts w:ascii="宋体" w:hAnsi="宋体" w:eastAsia="宋体" w:cs="宋体"/>
          <w:b/>
          <w:bCs/>
          <w:sz w:val="32"/>
          <w:szCs w:val="40"/>
        </w:rPr>
      </w:pPr>
      <w:bookmarkStart w:id="13" w:name="_Toc86173547"/>
      <w:bookmarkStart w:id="14" w:name="_Toc2234"/>
      <w:r>
        <w:rPr>
          <w:rFonts w:hint="eastAsia" w:ascii="宋体" w:hAnsi="宋体" w:eastAsia="宋体" w:cs="宋体"/>
          <w:b/>
          <w:bCs/>
          <w:sz w:val="32"/>
          <w:szCs w:val="40"/>
        </w:rPr>
        <w:t>技术指标</w:t>
      </w:r>
      <w:bookmarkEnd w:id="13"/>
      <w:bookmarkEnd w:id="14"/>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1.操作基本要求</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（1）材料要求：采用主办方提供的砖及砂浆，但参赛者在砌筑过程中应进行选砖，对非整砖进行精加工。</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（2）组砌方法：操作中应严格按试题示意图中标注尺寸进行砌筑; 应严格按试题示意图中的排版组砌方式进行砌筑，必须上下错缝，内外搭接,不得采取其他组砌方式。此墙按图纸留置，并保证墙砌体垂直、平整。在操作中要按照规范操作。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（3）砌体灰缝要求：砖砌体砂浆必须饱满，水平灰缝砂浆饱满度不低于80%，严禁出现内外通缝、空缝和瞎缝现象，特殊情况例外。水平灰缝厚度、竖向立缝宽度应为10mm，最大不大于12 ㎜、最小不小于8㎜。</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（4）勾缝要求：砌筑时应随砌随勾缝，勾缝形式、深度按试题要求，深浅保持一致。</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（5）清洁要求：清水墙面应保持清洁。</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2.操作工艺要求</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砌筑方法宜采用“三一”砌砖法，即：一铲灰、一块砖、一挤揉进行操作，并随手将挤出的砂浆刮去。</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3.操作流程</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（1）抄平：砌筑前将基础找平。</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（2）放线：按工位、图纸进行放墨线或挂线定位。</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（3）立皮数杆：根据砌体高度及砖和灰缝计算出每皮砖的厚度，并在皮数杆上标注砖皮数及预留洞口的标高位置。</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（4）摆砖撂底：按照放好的墨线和选定的组砌形式，进行干砖试摆。</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（5）盘角：盘角是保证墙面平整、垂直、水平灰缝均匀、标高准确。应做到“三皮一吊，五皮一靠”的规范要求操作。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（6）挂线：当两端的大角盘好后，即可挂线进行中段的砌筑，挂线时两端应拉紧，严禁出现中间“抗线”和“塌腰”现象。</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（7）砌砖操作：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选砖：将砖的条面和丁面棱角整齐的砖面用在墙体的正面上。</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旋砖：将砖在手中进行旋转调整，将平整的面砌到正面墙上。</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砌筑：线挂好拉紧后，砌砖必须跟线走。俗称“上根线、下跟棱、左右相跟要齐平。”</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砌筑过程中要随砌随自检随修整，两端的大角确保垂直、平整。</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墙面砌出凹凸现象时，严禁砸墙。如墙体偏差较大应拆掉重砌。</w:t>
      </w:r>
    </w:p>
    <w:p>
      <w:pPr>
        <w:keepNext w:val="0"/>
        <w:keepLines w:val="0"/>
        <w:pageBreakBefore w:val="0"/>
        <w:numPr>
          <w:ilvl w:val="0"/>
          <w:numId w:val="2"/>
        </w:numPr>
        <w:wordWrap/>
        <w:overflowPunct/>
        <w:topLinePunct w:val="0"/>
        <w:bidi w:val="0"/>
        <w:adjustRightInd w:val="0"/>
        <w:snapToGrid w:val="0"/>
        <w:spacing w:line="360" w:lineRule="auto"/>
        <w:outlineLvl w:val="0"/>
        <w:rPr>
          <w:rFonts w:ascii="黑体" w:hAnsi="黑体" w:eastAsia="黑体" w:cs="黑体"/>
          <w:sz w:val="32"/>
          <w:szCs w:val="32"/>
        </w:rPr>
      </w:pPr>
      <w:bookmarkStart w:id="15" w:name="_Toc12894"/>
      <w:r>
        <w:rPr>
          <w:rFonts w:hint="eastAsia" w:ascii="黑体" w:hAnsi="黑体" w:eastAsia="黑体" w:cs="黑体"/>
          <w:sz w:val="32"/>
          <w:szCs w:val="32"/>
        </w:rPr>
        <w:t>试题及评判标准</w:t>
      </w:r>
      <w:bookmarkEnd w:id="15"/>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16" w:name="_Toc2905"/>
      <w:r>
        <w:rPr>
          <w:rFonts w:hint="eastAsia" w:ascii="宋体" w:hAnsi="宋体" w:eastAsia="宋体" w:cs="宋体"/>
          <w:b/>
          <w:bCs/>
          <w:sz w:val="30"/>
          <w:szCs w:val="30"/>
        </w:rPr>
        <w:t>（一）试题</w:t>
      </w:r>
      <w:bookmarkEnd w:id="16"/>
    </w:p>
    <w:p>
      <w:pPr>
        <w:keepNext w:val="0"/>
        <w:keepLines w:val="0"/>
        <w:pageBreakBefore w:val="0"/>
        <w:wordWrap/>
        <w:overflowPunct/>
        <w:topLinePunct w:val="0"/>
        <w:bidi w:val="0"/>
        <w:spacing w:line="360" w:lineRule="auto"/>
        <w:ind w:left="238" w:firstLine="476" w:firstLineChars="200"/>
        <w:rPr>
          <w:rFonts w:hint="default" w:ascii="仿宋_GB2312" w:hAnsi="仿宋_GB2312" w:eastAsia="仿宋_GB2312" w:cs="仿宋_GB2312"/>
          <w:spacing w:val="-1"/>
          <w:sz w:val="24"/>
          <w:lang w:val="en-US" w:eastAsia="zh-CN"/>
        </w:rPr>
      </w:pPr>
      <w:r>
        <w:rPr>
          <w:rFonts w:hint="eastAsia" w:ascii="仿宋_GB2312" w:hAnsi="仿宋_GB2312" w:eastAsia="仿宋_GB2312" w:cs="仿宋_GB2312"/>
          <w:spacing w:val="-1"/>
          <w:sz w:val="24"/>
        </w:rPr>
        <w:t>本次竞赛分为理论知识测试与实际操作测试两个竞赛模块，最终成绩由理论成绩（占比30%）+实操测试（占比70%）组成。</w:t>
      </w:r>
      <w:r>
        <w:rPr>
          <w:rFonts w:hint="eastAsia" w:ascii="仿宋_GB2312" w:hAnsi="仿宋_GB2312" w:eastAsia="仿宋_GB2312" w:cs="仿宋_GB2312"/>
          <w:spacing w:val="-1"/>
          <w:sz w:val="24"/>
          <w:lang w:val="en-US" w:eastAsia="zh-CN"/>
        </w:rPr>
        <w:t>理论测试地点及考评方式由大赛执委会统一指定安排，实操测试在竞赛赛场地进行。</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实操竞赛部分对比国赛标准，紧密贴合砌筑赛项考核元素及办赛地区文化特点进行命题。试题为花饰清水墙的砌筑。对照往届河南省职业技能大赛标准，本项目由专家组根据本技术文件的思路及内容命制试题，并于赛前公布。正式比赛前由专家组组织全体裁判员讨论是否对赛题进行修改，但是总修改量不超过 30%。打分前由裁判长带领各个参赛队裁判共同抽取打分点。</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样题见附件1。</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17" w:name="_Toc1182"/>
      <w:r>
        <w:rPr>
          <w:rFonts w:hint="eastAsia" w:ascii="宋体" w:hAnsi="宋体" w:eastAsia="宋体" w:cs="宋体"/>
          <w:b/>
          <w:bCs/>
          <w:sz w:val="30"/>
          <w:szCs w:val="30"/>
        </w:rPr>
        <w:t>（二）竞赛方式、时间与成绩计算</w:t>
      </w:r>
      <w:bookmarkEnd w:id="17"/>
    </w:p>
    <w:p>
      <w:pPr>
        <w:keepNext w:val="0"/>
        <w:keepLines w:val="0"/>
        <w:pageBreakBefore w:val="0"/>
        <w:wordWrap/>
        <w:overflowPunct/>
        <w:topLinePunct w:val="0"/>
        <w:bidi w:val="0"/>
        <w:spacing w:line="360" w:lineRule="auto"/>
        <w:ind w:left="236" w:firstLine="215"/>
        <w:rPr>
          <w:rFonts w:ascii="仿宋_GB2312" w:hAnsi="仿宋_GB2312" w:eastAsia="仿宋_GB2312" w:cs="仿宋_GB2312"/>
          <w:spacing w:val="-1"/>
          <w:sz w:val="28"/>
          <w:szCs w:val="28"/>
        </w:rPr>
      </w:pPr>
      <w:r>
        <w:rPr>
          <w:rFonts w:hint="eastAsia" w:ascii="仿宋_GB2312" w:hAnsi="仿宋_GB2312" w:eastAsia="仿宋_GB2312" w:cs="仿宋_GB2312"/>
          <w:b/>
          <w:bCs/>
          <w:spacing w:val="-1"/>
          <w:sz w:val="28"/>
          <w:szCs w:val="28"/>
        </w:rPr>
        <w:t>1.竞赛方式</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竞赛采用个人竞赛形式，比赛分为理论测试+实操竞赛两个部分进行。</w:t>
      </w:r>
    </w:p>
    <w:p>
      <w:pPr>
        <w:keepNext w:val="0"/>
        <w:keepLines w:val="0"/>
        <w:pageBreakBefore w:val="0"/>
        <w:wordWrap/>
        <w:overflowPunct/>
        <w:topLinePunct w:val="0"/>
        <w:bidi w:val="0"/>
        <w:spacing w:line="360" w:lineRule="auto"/>
        <w:ind w:left="236" w:firstLine="215"/>
        <w:rPr>
          <w:rFonts w:ascii="仿宋_GB2312" w:hAnsi="仿宋_GB2312" w:eastAsia="仿宋_GB2312" w:cs="仿宋_GB2312"/>
          <w:b/>
          <w:bCs/>
          <w:spacing w:val="-1"/>
          <w:sz w:val="28"/>
          <w:szCs w:val="28"/>
        </w:rPr>
      </w:pPr>
      <w:r>
        <w:rPr>
          <w:rFonts w:hint="eastAsia" w:ascii="仿宋_GB2312" w:hAnsi="仿宋_GB2312" w:eastAsia="仿宋_GB2312" w:cs="仿宋_GB2312"/>
          <w:b/>
          <w:bCs/>
          <w:spacing w:val="-1"/>
          <w:sz w:val="28"/>
          <w:szCs w:val="28"/>
        </w:rPr>
        <w:t>2.竞赛时间</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7.5小时。</w:t>
      </w:r>
    </w:p>
    <w:p>
      <w:pPr>
        <w:keepNext w:val="0"/>
        <w:keepLines w:val="0"/>
        <w:pageBreakBefore w:val="0"/>
        <w:wordWrap/>
        <w:overflowPunct/>
        <w:topLinePunct w:val="0"/>
        <w:bidi w:val="0"/>
        <w:spacing w:line="360" w:lineRule="auto"/>
        <w:ind w:left="236" w:firstLine="215"/>
        <w:rPr>
          <w:rFonts w:ascii="仿宋_GB2312" w:hAnsi="仿宋_GB2312" w:eastAsia="仿宋_GB2312" w:cs="仿宋_GB2312"/>
          <w:b/>
          <w:bCs/>
          <w:spacing w:val="-1"/>
          <w:sz w:val="28"/>
          <w:szCs w:val="28"/>
        </w:rPr>
      </w:pPr>
      <w:r>
        <w:rPr>
          <w:rFonts w:hint="eastAsia" w:ascii="仿宋_GB2312" w:hAnsi="仿宋_GB2312" w:eastAsia="仿宋_GB2312" w:cs="仿宋_GB2312"/>
          <w:b/>
          <w:bCs/>
          <w:spacing w:val="-1"/>
          <w:sz w:val="28"/>
          <w:szCs w:val="28"/>
        </w:rPr>
        <w:t>3.成绩计算</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所有分值由各组裁判依据竞赛评分标准进行评价或测量得分，最后各组成绩累计为选手最终成绩。</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18" w:name="_Toc14943"/>
      <w:bookmarkStart w:id="19" w:name="_Toc86173551"/>
      <w:r>
        <w:rPr>
          <w:rFonts w:hint="eastAsia" w:ascii="宋体" w:hAnsi="宋体" w:eastAsia="宋体" w:cs="宋体"/>
          <w:b/>
          <w:bCs/>
          <w:sz w:val="30"/>
          <w:szCs w:val="30"/>
        </w:rPr>
        <w:t>（三）评判标准</w:t>
      </w:r>
      <w:bookmarkEnd w:id="18"/>
      <w:bookmarkEnd w:id="19"/>
    </w:p>
    <w:p>
      <w:pPr>
        <w:keepNext w:val="0"/>
        <w:keepLines w:val="0"/>
        <w:pageBreakBefore w:val="0"/>
        <w:wordWrap/>
        <w:overflowPunct/>
        <w:topLinePunct w:val="0"/>
        <w:bidi w:val="0"/>
        <w:spacing w:line="360" w:lineRule="auto"/>
        <w:ind w:left="236" w:firstLine="215"/>
        <w:rPr>
          <w:rFonts w:ascii="仿宋_GB2312" w:hAnsi="仿宋_GB2312" w:eastAsia="仿宋_GB2312" w:cs="仿宋_GB2312"/>
          <w:b/>
          <w:bCs/>
          <w:spacing w:val="-1"/>
          <w:sz w:val="28"/>
          <w:szCs w:val="28"/>
        </w:rPr>
      </w:pPr>
      <w:r>
        <w:rPr>
          <w:rFonts w:hint="eastAsia" w:ascii="仿宋_GB2312" w:hAnsi="仿宋_GB2312" w:eastAsia="仿宋_GB2312" w:cs="仿宋_GB2312"/>
          <w:b/>
          <w:bCs/>
          <w:spacing w:val="-1"/>
          <w:sz w:val="28"/>
          <w:szCs w:val="28"/>
        </w:rPr>
        <w:t>1.评分细则</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本次竞赛采用100分制评分，分评价与测量评分，其中评价分共20分，测量分80分，具体分值分布详见评分汇总表。</w:t>
      </w:r>
    </w:p>
    <w:p>
      <w:pPr>
        <w:pStyle w:val="10"/>
        <w:keepNext w:val="0"/>
        <w:keepLines w:val="0"/>
        <w:pageBreakBefore w:val="0"/>
        <w:wordWrap/>
        <w:overflowPunct/>
        <w:topLinePunct w:val="0"/>
        <w:bidi w:val="0"/>
        <w:spacing w:line="360" w:lineRule="auto"/>
        <w:ind w:firstLine="0" w:firstLineChars="0"/>
        <w:jc w:val="center"/>
        <w:rPr>
          <w:sz w:val="28"/>
          <w:szCs w:val="22"/>
        </w:rPr>
      </w:pPr>
      <w:r>
        <w:rPr>
          <w:sz w:val="28"/>
          <w:szCs w:val="22"/>
        </w:rPr>
        <w:t>砌筑项目分值分部表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gridCol w:w="18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814" w:type="dxa"/>
            <w:vMerge w:val="restart"/>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r>
              <w:rPr>
                <w:rFonts w:hint="eastAsia" w:ascii="黑体" w:hAnsi="黑体" w:eastAsia="黑体" w:cs="黑体"/>
                <w:bCs/>
                <w:sz w:val="22"/>
                <w:szCs w:val="22"/>
              </w:rPr>
              <w:t>评分模块</w:t>
            </w:r>
          </w:p>
        </w:tc>
        <w:tc>
          <w:tcPr>
            <w:tcW w:w="1814" w:type="dxa"/>
            <w:vMerge w:val="restart"/>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r>
              <w:rPr>
                <w:rFonts w:hint="eastAsia" w:ascii="黑体" w:hAnsi="黑体" w:eastAsia="黑体" w:cs="黑体"/>
                <w:bCs/>
                <w:sz w:val="22"/>
                <w:szCs w:val="22"/>
              </w:rPr>
              <w:t>评分内容</w:t>
            </w:r>
          </w:p>
        </w:tc>
        <w:tc>
          <w:tcPr>
            <w:tcW w:w="3630" w:type="dxa"/>
            <w:gridSpan w:val="2"/>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r>
              <w:rPr>
                <w:rFonts w:hint="eastAsia" w:ascii="黑体" w:hAnsi="黑体" w:eastAsia="黑体" w:cs="黑体"/>
                <w:bCs/>
                <w:sz w:val="22"/>
                <w:szCs w:val="22"/>
              </w:rPr>
              <w:t>配分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814" w:type="dxa"/>
            <w:vMerge w:val="continue"/>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p>
        </w:tc>
        <w:tc>
          <w:tcPr>
            <w:tcW w:w="1814" w:type="dxa"/>
            <w:vMerge w:val="continue"/>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r>
              <w:rPr>
                <w:rFonts w:hint="eastAsia" w:ascii="黑体" w:hAnsi="黑体" w:eastAsia="黑体" w:cs="黑体"/>
                <w:bCs/>
                <w:sz w:val="22"/>
                <w:szCs w:val="22"/>
              </w:rPr>
              <w:t>测量分</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r>
              <w:rPr>
                <w:rFonts w:hint="eastAsia" w:ascii="黑体" w:hAnsi="黑体" w:eastAsia="黑体" w:cs="黑体"/>
                <w:bCs/>
                <w:sz w:val="22"/>
                <w:szCs w:val="22"/>
              </w:rPr>
              <w:t>评价分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A</w:t>
            </w:r>
          </w:p>
        </w:tc>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尺寸</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20</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B</w:t>
            </w:r>
          </w:p>
        </w:tc>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水平</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10</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C</w:t>
            </w:r>
          </w:p>
        </w:tc>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垂直</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20</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D</w:t>
            </w:r>
          </w:p>
        </w:tc>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对齐</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10</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E</w:t>
            </w:r>
          </w:p>
        </w:tc>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细部</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20</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F</w:t>
            </w:r>
          </w:p>
        </w:tc>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勾缝</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G</w:t>
            </w:r>
          </w:p>
        </w:tc>
        <w:tc>
          <w:tcPr>
            <w:tcW w:w="1814"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完成</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3628" w:type="dxa"/>
            <w:gridSpan w:val="2"/>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r>
              <w:rPr>
                <w:rFonts w:hint="eastAsia" w:ascii="黑体" w:hAnsi="黑体" w:eastAsia="黑体" w:cs="黑体"/>
                <w:bCs/>
                <w:sz w:val="22"/>
                <w:szCs w:val="22"/>
              </w:rPr>
              <w:t>测量分/评价分小计：</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80</w:t>
            </w:r>
          </w:p>
        </w:tc>
        <w:tc>
          <w:tcPr>
            <w:tcW w:w="1815" w:type="dxa"/>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628" w:type="dxa"/>
            <w:gridSpan w:val="2"/>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黑体" w:hAnsi="黑体" w:eastAsia="黑体" w:cs="黑体"/>
                <w:bCs/>
                <w:sz w:val="22"/>
                <w:szCs w:val="22"/>
              </w:rPr>
            </w:pPr>
            <w:r>
              <w:rPr>
                <w:rFonts w:hint="eastAsia" w:ascii="黑体" w:hAnsi="黑体" w:eastAsia="黑体" w:cs="黑体"/>
                <w:bCs/>
                <w:sz w:val="22"/>
                <w:szCs w:val="22"/>
              </w:rPr>
              <w:t>总计：</w:t>
            </w:r>
          </w:p>
        </w:tc>
        <w:tc>
          <w:tcPr>
            <w:tcW w:w="3630" w:type="dxa"/>
            <w:gridSpan w:val="2"/>
            <w:tcBorders>
              <w:tl2br w:val="nil"/>
              <w:tr2bl w:val="nil"/>
            </w:tcBorders>
            <w:vAlign w:val="center"/>
          </w:tcPr>
          <w:p>
            <w:pPr>
              <w:pStyle w:val="10"/>
              <w:keepNext w:val="0"/>
              <w:keepLines w:val="0"/>
              <w:pageBreakBefore w:val="0"/>
              <w:wordWrap/>
              <w:overflowPunct/>
              <w:topLinePunct w:val="0"/>
              <w:bidi w:val="0"/>
              <w:adjustRightInd w:val="0"/>
              <w:snapToGrid w:val="0"/>
              <w:spacing w:line="360" w:lineRule="auto"/>
              <w:ind w:firstLine="0" w:firstLineChars="0"/>
              <w:jc w:val="center"/>
              <w:rPr>
                <w:rFonts w:ascii="仿宋_GB2312" w:hAnsi="仿宋_GB2312" w:cs="仿宋_GB2312"/>
                <w:sz w:val="22"/>
                <w:szCs w:val="22"/>
              </w:rPr>
            </w:pPr>
            <w:r>
              <w:rPr>
                <w:rFonts w:hint="eastAsia" w:ascii="仿宋_GB2312" w:hAnsi="仿宋_GB2312" w:cs="仿宋_GB2312"/>
                <w:sz w:val="22"/>
                <w:szCs w:val="22"/>
              </w:rPr>
              <w:t>100</w:t>
            </w:r>
          </w:p>
        </w:tc>
      </w:tr>
    </w:tbl>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（1）测量评分项</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包括尺寸、水平、垂直、对齐、细部等方面，在预定的测量位置进行测量，每项都以零为标准，每1mm误差将扣一定分值，各项具体扣分标准详见评分表（附件4）。测量评分位置图（评分点）及具体评分方案将由裁判组在评分前现场抽签决定具体打分点。</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（2）评价评分项</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包括勾缝及完成两方面，主要对砂浆饱满度、有无孔洞、组砌方式、非整砖切割线平直度、灰缝平直及宽厚、清洁和成品外观、抹灰质量等进行评测。如选手作品未完成（组砌+勾缝），评价分一律为0分，如作品组砌完成但未勾缝，评价分中勾缝分为0。评价分评分时，由评价评分裁判组一起对同一件作品进行评价，评分时采用 0、1、2、3 四个等级。</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001"/>
        <w:gridCol w:w="29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3001" w:type="dxa"/>
            <w:tcBorders>
              <w:tl2br w:val="nil"/>
              <w:tr2bl w:val="nil"/>
            </w:tcBorders>
            <w:vAlign w:val="center"/>
          </w:tcPr>
          <w:p>
            <w:pPr>
              <w:keepNext w:val="0"/>
              <w:keepLines w:val="0"/>
              <w:pageBreakBefore w:val="0"/>
              <w:wordWrap/>
              <w:overflowPunct/>
              <w:topLinePunct w:val="0"/>
              <w:bidi w:val="0"/>
              <w:spacing w:line="360" w:lineRule="auto"/>
              <w:jc w:val="center"/>
              <w:rPr>
                <w:rFonts w:ascii="黑体" w:hAnsi="黑体" w:eastAsia="黑体" w:cs="黑体"/>
                <w:bCs/>
                <w:sz w:val="24"/>
              </w:rPr>
            </w:pPr>
            <w:r>
              <w:rPr>
                <w:rFonts w:hint="eastAsia" w:ascii="黑体" w:hAnsi="黑体" w:eastAsia="黑体" w:cs="黑体"/>
                <w:bCs/>
                <w:sz w:val="24"/>
              </w:rPr>
              <w:t>等级（权重分）</w:t>
            </w:r>
          </w:p>
        </w:tc>
        <w:tc>
          <w:tcPr>
            <w:tcW w:w="2998" w:type="dxa"/>
            <w:tcBorders>
              <w:tl2br w:val="nil"/>
              <w:tr2bl w:val="nil"/>
            </w:tcBorders>
            <w:vAlign w:val="center"/>
          </w:tcPr>
          <w:p>
            <w:pPr>
              <w:keepNext w:val="0"/>
              <w:keepLines w:val="0"/>
              <w:pageBreakBefore w:val="0"/>
              <w:wordWrap/>
              <w:overflowPunct/>
              <w:topLinePunct w:val="0"/>
              <w:bidi w:val="0"/>
              <w:spacing w:line="360" w:lineRule="auto"/>
              <w:jc w:val="center"/>
              <w:rPr>
                <w:rFonts w:ascii="黑体" w:hAnsi="黑体" w:eastAsia="黑体" w:cs="黑体"/>
                <w:bCs/>
                <w:sz w:val="24"/>
              </w:rPr>
            </w:pPr>
            <w:r>
              <w:rPr>
                <w:rFonts w:hint="eastAsia" w:ascii="黑体" w:hAnsi="黑体" w:eastAsia="黑体" w:cs="黑体"/>
                <w:bCs/>
                <w:sz w:val="24"/>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001"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0</w:t>
            </w:r>
          </w:p>
        </w:tc>
        <w:tc>
          <w:tcPr>
            <w:tcW w:w="2998"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未完成或基本未完成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001"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1</w:t>
            </w:r>
          </w:p>
        </w:tc>
        <w:tc>
          <w:tcPr>
            <w:tcW w:w="2998"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低于评价标准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001"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2</w:t>
            </w:r>
          </w:p>
        </w:tc>
        <w:tc>
          <w:tcPr>
            <w:tcW w:w="2998"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等于评价标准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001"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3</w:t>
            </w:r>
          </w:p>
        </w:tc>
        <w:tc>
          <w:tcPr>
            <w:tcW w:w="2998" w:type="dxa"/>
            <w:tcBorders>
              <w:tl2br w:val="nil"/>
              <w:tr2bl w:val="nil"/>
            </w:tcBorders>
            <w:vAlign w:val="center"/>
          </w:tcPr>
          <w:p>
            <w:pPr>
              <w:keepNext w:val="0"/>
              <w:keepLines w:val="0"/>
              <w:pageBreakBefore w:val="0"/>
              <w:wordWrap/>
              <w:overflowPunct/>
              <w:topLinePunct w:val="0"/>
              <w:bidi w:val="0"/>
              <w:spacing w:line="360" w:lineRule="auto"/>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高于评价标准</w:t>
            </w:r>
          </w:p>
        </w:tc>
      </w:tr>
    </w:tbl>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2.评判流程</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竞赛评分流程采用世界技能大赛的评分方法进行。先评评价分，后评测量分。选手在规定时间内未完成比赛项目的，则按已完成可检测评分项检测评分，其余未完成检测项按零分计。无论是评价评分还是测量评分，所有裁判均不能参与本单位选手的评分过程（实行回避制）。</w:t>
      </w:r>
    </w:p>
    <w:p>
      <w:pPr>
        <w:keepNext w:val="0"/>
        <w:keepLines w:val="0"/>
        <w:pageBreakBefore w:val="0"/>
        <w:wordWrap/>
        <w:overflowPunct/>
        <w:topLinePunct w:val="0"/>
        <w:bidi w:val="0"/>
        <w:spacing w:line="360" w:lineRule="auto"/>
        <w:ind w:left="238" w:firstLine="476" w:firstLineChars="200"/>
        <w:rPr>
          <w:rFonts w:hint="eastAsia" w:ascii="仿宋_GB2312" w:hAnsi="仿宋_GB2312" w:eastAsia="仿宋_GB2312" w:cs="仿宋_GB2312"/>
          <w:spacing w:val="-1"/>
          <w:sz w:val="24"/>
        </w:rPr>
      </w:pPr>
      <w:r>
        <w:rPr>
          <w:rFonts w:hint="eastAsia" w:ascii="仿宋_GB2312" w:hAnsi="仿宋_GB2312" w:eastAsia="仿宋_GB2312" w:cs="仿宋_GB2312"/>
          <w:spacing w:val="-1"/>
          <w:sz w:val="24"/>
        </w:rPr>
        <w:t>（2）评价评判：针对选手比赛作品的主观判断进行评价，所有裁判同时对一处指标进行0-3等级归类评分，裁判给出的分数之间最大差异不得超过1等级，如超过1等级，就需要该裁判说明理由，重新评分，如裁判之间无法达成一致，则由裁判长进行协调决定。如不超过1等级，则该评分视为有效。</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测量评判：测量评分按照抽出的评分点进行评分，评分小组指派一人检测，一人登分，其余人员进行监督。出现争议，由裁判长组织裁判员表决。如果选手的水平尺不够测量距离时，裁判们必须使用直尺覆盖整个距离以便正确评分。裁判用来评定特定标识点的直尺必须是和标准水平尺相同厚度的直尺。评分方案的制定将强调标识位置（即评分点在哪个位置就评测哪个位置，不允许私自更换评分位置）。</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（4）评分工作进行时选手推荐相关单位指派的裁判人员必须回避本单位的量测及记录工作，但是可以针对量测及记录的数据进行复核；</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3.成绩并列的处理</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最后比赛总分成绩如果遇到选手竞赛成绩相同时，则测量分高者排名靠前，如果再次相同，则依次按尺寸、垂直、水平、对齐、细部成绩，分数高者排名靠前。</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4.评判的硬件和设备要求</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竞赛结束后，应当场进行评判，评判时，选手不能在场，场地只有裁判员工作。裁判员评判时，所用的检测工具使用选手所用工具，如选手将检测工具携带出比赛现场，裁判员评判时使用</w:t>
      </w:r>
      <w:r>
        <w:rPr>
          <w:rFonts w:hint="eastAsia" w:ascii="仿宋_GB2312" w:hAnsi="仿宋_GB2312" w:eastAsia="仿宋_GB2312" w:cs="仿宋_GB2312"/>
          <w:spacing w:val="-1"/>
          <w:sz w:val="24"/>
          <w:lang w:eastAsia="zh-CN"/>
        </w:rPr>
        <w:t>大赛执委会</w:t>
      </w:r>
      <w:r>
        <w:rPr>
          <w:rFonts w:hint="eastAsia" w:ascii="仿宋_GB2312" w:hAnsi="仿宋_GB2312" w:eastAsia="仿宋_GB2312" w:cs="仿宋_GB2312"/>
          <w:spacing w:val="-1"/>
          <w:sz w:val="24"/>
        </w:rPr>
        <w:t>统一提供的检测工具。</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5.评判分组方法</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裁判员分成评价评分组和测量评分组。</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（1）评价分组（主观）</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由3名及以上裁判组成，裁判之间不得交流，各自单独评分，计算出平均权重分，除以3后再乘以该子项的分值计算出实际得分。</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（2）测量分组（客观）</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按模块设置若干个评分组，每组建议由4名及以上裁判组成。评分工作进行时量测的结果必须有另一位非量测的裁判人员进行数据复核；评分工作进行时记录的结果必须有另一位非记录的裁判人员进行数据复核；每个组所有裁判根据以上要求一起量测并监督，在对该选手在该项中的实际得分达成一致后最终只给出一个分值。</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若裁判数量不满足要求，也可以在裁判员共同商议后另定分组模式。</w:t>
      </w:r>
    </w:p>
    <w:p>
      <w:pPr>
        <w:keepNext w:val="0"/>
        <w:keepLines w:val="0"/>
        <w:pageBreakBefore w:val="0"/>
        <w:widowControl/>
        <w:wordWrap/>
        <w:overflowPunct/>
        <w:topLinePunct w:val="0"/>
        <w:bidi w:val="0"/>
        <w:spacing w:line="360" w:lineRule="auto"/>
        <w:jc w:val="left"/>
        <w:rPr>
          <w:rFonts w:ascii="仿宋_GB2312" w:hAnsi="仿宋_GB2312" w:eastAsia="仿宋_GB2312" w:cs="仿宋_GB2312"/>
          <w:spacing w:val="-1"/>
          <w:sz w:val="24"/>
        </w:rPr>
      </w:pPr>
      <w:r>
        <w:rPr>
          <w:rFonts w:ascii="仿宋_GB2312" w:hAnsi="仿宋_GB2312" w:eastAsia="仿宋_GB2312" w:cs="仿宋_GB2312"/>
          <w:spacing w:val="-1"/>
          <w:sz w:val="24"/>
        </w:rPr>
        <w:br w:type="page"/>
      </w:r>
    </w:p>
    <w:p>
      <w:pPr>
        <w:keepNext w:val="0"/>
        <w:keepLines w:val="0"/>
        <w:pageBreakBefore w:val="0"/>
        <w:numPr>
          <w:ilvl w:val="0"/>
          <w:numId w:val="2"/>
        </w:numPr>
        <w:wordWrap/>
        <w:overflowPunct/>
        <w:topLinePunct w:val="0"/>
        <w:bidi w:val="0"/>
        <w:adjustRightInd w:val="0"/>
        <w:snapToGrid w:val="0"/>
        <w:spacing w:line="360" w:lineRule="auto"/>
        <w:outlineLvl w:val="0"/>
        <w:rPr>
          <w:rFonts w:ascii="黑体" w:hAnsi="黑体" w:eastAsia="黑体" w:cs="黑体"/>
          <w:sz w:val="32"/>
          <w:szCs w:val="32"/>
        </w:rPr>
      </w:pPr>
      <w:bookmarkStart w:id="20" w:name="_Toc27104"/>
      <w:bookmarkStart w:id="21" w:name="_Toc86173552"/>
      <w:r>
        <w:rPr>
          <w:rFonts w:hint="eastAsia" w:ascii="黑体" w:hAnsi="黑体" w:eastAsia="黑体" w:cs="黑体"/>
          <w:sz w:val="32"/>
          <w:szCs w:val="32"/>
        </w:rPr>
        <w:t>竞赛细则</w:t>
      </w:r>
      <w:bookmarkEnd w:id="20"/>
      <w:bookmarkEnd w:id="21"/>
    </w:p>
    <w:p>
      <w:pPr>
        <w:pStyle w:val="20"/>
        <w:keepNext w:val="0"/>
        <w:keepLines w:val="0"/>
        <w:pageBreakBefore w:val="0"/>
        <w:numPr>
          <w:ilvl w:val="0"/>
          <w:numId w:val="5"/>
        </w:numPr>
        <w:wordWrap/>
        <w:overflowPunct/>
        <w:topLinePunct w:val="0"/>
        <w:bidi w:val="0"/>
        <w:adjustRightInd w:val="0"/>
        <w:snapToGrid w:val="0"/>
        <w:spacing w:line="360" w:lineRule="auto"/>
        <w:ind w:firstLineChars="0"/>
        <w:outlineLvl w:val="1"/>
        <w:rPr>
          <w:rFonts w:ascii="宋体" w:hAnsi="宋体" w:eastAsia="宋体" w:cs="宋体"/>
          <w:b/>
          <w:bCs/>
          <w:sz w:val="30"/>
          <w:szCs w:val="30"/>
        </w:rPr>
      </w:pPr>
      <w:bookmarkStart w:id="22" w:name="_Toc86173553"/>
      <w:bookmarkStart w:id="23" w:name="_Toc2241"/>
      <w:r>
        <w:rPr>
          <w:rFonts w:hint="eastAsia" w:ascii="宋体" w:hAnsi="宋体" w:eastAsia="宋体" w:cs="宋体"/>
          <w:b/>
          <w:bCs/>
          <w:sz w:val="30"/>
          <w:szCs w:val="30"/>
        </w:rPr>
        <w:t>比赛日程安排</w:t>
      </w:r>
      <w:bookmarkEnd w:id="22"/>
      <w:bookmarkEnd w:id="23"/>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07"/>
        <w:gridCol w:w="3727"/>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666" w:type="dxa"/>
            <w:gridSpan w:val="2"/>
            <w:vAlign w:val="center"/>
          </w:tcPr>
          <w:p>
            <w:pPr>
              <w:pStyle w:val="16"/>
              <w:keepNext w:val="0"/>
              <w:keepLines w:val="0"/>
              <w:pageBreakBefore w:val="0"/>
              <w:wordWrap/>
              <w:overflowPunct/>
              <w:topLinePunct w:val="0"/>
              <w:bidi w:val="0"/>
              <w:spacing w:before="0" w:line="360" w:lineRule="auto"/>
              <w:rPr>
                <w:rFonts w:hint="eastAsia" w:ascii="黑体" w:hAnsi="黑体" w:eastAsia="黑体"/>
                <w:lang w:eastAsia="en-US"/>
              </w:rPr>
            </w:pPr>
            <w:r>
              <w:rPr>
                <w:rFonts w:hint="eastAsia" w:ascii="黑体" w:hAnsi="黑体" w:eastAsia="黑体"/>
                <w:lang w:eastAsia="en-US"/>
              </w:rPr>
              <w:t>竞赛日程</w:t>
            </w:r>
          </w:p>
        </w:tc>
        <w:tc>
          <w:tcPr>
            <w:tcW w:w="3727" w:type="dxa"/>
            <w:vAlign w:val="center"/>
          </w:tcPr>
          <w:p>
            <w:pPr>
              <w:pStyle w:val="16"/>
              <w:keepNext w:val="0"/>
              <w:keepLines w:val="0"/>
              <w:pageBreakBefore w:val="0"/>
              <w:wordWrap/>
              <w:overflowPunct/>
              <w:topLinePunct w:val="0"/>
              <w:bidi w:val="0"/>
              <w:spacing w:before="0" w:line="360" w:lineRule="auto"/>
              <w:rPr>
                <w:rFonts w:hint="eastAsia" w:ascii="黑体" w:hAnsi="黑体" w:eastAsia="黑体"/>
                <w:lang w:eastAsia="en-US"/>
              </w:rPr>
            </w:pPr>
            <w:r>
              <w:rPr>
                <w:rFonts w:hint="eastAsia" w:ascii="黑体" w:hAnsi="黑体" w:eastAsia="黑体"/>
                <w:lang w:eastAsia="en-US"/>
              </w:rPr>
              <w:t>内容</w:t>
            </w:r>
          </w:p>
        </w:tc>
        <w:tc>
          <w:tcPr>
            <w:tcW w:w="2129" w:type="dxa"/>
            <w:vAlign w:val="center"/>
          </w:tcPr>
          <w:p>
            <w:pPr>
              <w:pStyle w:val="16"/>
              <w:keepNext w:val="0"/>
              <w:keepLines w:val="0"/>
              <w:pageBreakBefore w:val="0"/>
              <w:wordWrap/>
              <w:overflowPunct/>
              <w:topLinePunct w:val="0"/>
              <w:bidi w:val="0"/>
              <w:spacing w:before="0" w:line="360" w:lineRule="auto"/>
              <w:rPr>
                <w:rFonts w:hint="eastAsia" w:ascii="黑体" w:hAnsi="黑体" w:eastAsia="黑体"/>
                <w:lang w:eastAsia="en-US"/>
              </w:rPr>
            </w:pPr>
            <w:r>
              <w:rPr>
                <w:rFonts w:hint="eastAsia" w:ascii="黑体" w:hAnsi="黑体" w:eastAsia="黑体"/>
                <w:lang w:eastAsia="en-US"/>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59" w:type="dxa"/>
            <w:vMerge w:val="restart"/>
            <w:vAlign w:val="center"/>
          </w:tcPr>
          <w:p>
            <w:pPr>
              <w:pStyle w:val="16"/>
              <w:keepNext w:val="0"/>
              <w:keepLines w:val="0"/>
              <w:pageBreakBefore w:val="0"/>
              <w:wordWrap/>
              <w:overflowPunct/>
              <w:topLinePunct w:val="0"/>
              <w:bidi w:val="0"/>
              <w:spacing w:before="0" w:line="360" w:lineRule="auto"/>
              <w:rPr>
                <w:rFonts w:hint="eastAsia"/>
                <w:color w:val="E54C5E" w:themeColor="accent6"/>
                <w14:textFill>
                  <w14:solidFill>
                    <w14:schemeClr w14:val="accent6"/>
                  </w14:solidFill>
                </w14:textFill>
              </w:rPr>
            </w:pPr>
            <w:r>
              <w:rPr>
                <w:rFonts w:hint="eastAsia"/>
                <w:lang w:eastAsia="en-US"/>
              </w:rPr>
              <w:t>C-1</w:t>
            </w: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lang w:val="en-US" w:eastAsia="zh-CN"/>
              </w:rPr>
              <w:t>13</w:t>
            </w:r>
            <w:r>
              <w:rPr>
                <w:rFonts w:hint="eastAsia"/>
                <w:lang w:eastAsia="en-US"/>
              </w:rPr>
              <w:t>:</w:t>
            </w:r>
            <w:r>
              <w:rPr>
                <w:rFonts w:hint="eastAsia"/>
              </w:rPr>
              <w:t>0</w:t>
            </w:r>
            <w:r>
              <w:rPr>
                <w:rFonts w:hint="eastAsia"/>
                <w:lang w:eastAsia="en-US"/>
              </w:rPr>
              <w:t>0～</w:t>
            </w:r>
            <w:r>
              <w:rPr>
                <w:rFonts w:hint="eastAsia"/>
                <w:lang w:val="en-US" w:eastAsia="zh-CN"/>
              </w:rPr>
              <w:t>14</w:t>
            </w:r>
            <w:r>
              <w:rPr>
                <w:rFonts w:hint="eastAsia"/>
              </w:rPr>
              <w:t>:3</w:t>
            </w:r>
            <w:r>
              <w:rPr>
                <w:rFonts w:hint="eastAsia"/>
                <w:lang w:eastAsia="en-US"/>
              </w:rPr>
              <w:t>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裁判员会议（赛前说明，抽签，先抽取</w:t>
            </w:r>
            <w:r>
              <w:rPr>
                <w:rFonts w:hint="eastAsia"/>
                <w:lang w:val="en-US"/>
              </w:rPr>
              <w:t>抽签</w:t>
            </w:r>
            <w:r>
              <w:rPr>
                <w:rFonts w:hint="eastAsia"/>
              </w:rPr>
              <w:t>顺序，再按照检录顺序抽取选手</w:t>
            </w:r>
            <w:r>
              <w:rPr>
                <w:rFonts w:hint="eastAsia"/>
                <w:lang w:val="en-US"/>
              </w:rPr>
              <w:t>工位</w:t>
            </w:r>
            <w:r>
              <w:rPr>
                <w:rFonts w:hint="eastAsia"/>
              </w:rPr>
              <w:t>号）</w:t>
            </w:r>
          </w:p>
        </w:tc>
        <w:tc>
          <w:tcPr>
            <w:tcW w:w="2129" w:type="dxa"/>
            <w:vMerge w:val="restart"/>
            <w:vAlign w:val="center"/>
          </w:tcPr>
          <w:p>
            <w:pPr>
              <w:pStyle w:val="16"/>
              <w:keepNext w:val="0"/>
              <w:keepLines w:val="0"/>
              <w:pageBreakBefore w:val="0"/>
              <w:wordWrap/>
              <w:overflowPunct/>
              <w:topLinePunct w:val="0"/>
              <w:bidi w:val="0"/>
              <w:spacing w:before="0" w:line="360" w:lineRule="auto"/>
              <w:rPr>
                <w:rFonts w:hint="eastAsia"/>
              </w:rPr>
            </w:pPr>
            <w:r>
              <w:rPr>
                <w:rFonts w:hint="eastAsia"/>
              </w:rPr>
              <w:t>赛场</w:t>
            </w:r>
            <w:bookmarkStart w:id="58" w:name="_GoBack"/>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1</w:t>
            </w:r>
            <w:r>
              <w:rPr>
                <w:rFonts w:hint="eastAsia"/>
                <w:lang w:val="en-US" w:eastAsia="zh-CN"/>
              </w:rPr>
              <w:t>4</w:t>
            </w:r>
            <w:r>
              <w:rPr>
                <w:rFonts w:hint="eastAsia"/>
              </w:rPr>
              <w:t>:</w:t>
            </w:r>
            <w:r>
              <w:rPr>
                <w:rFonts w:hint="eastAsia"/>
                <w:lang w:eastAsia="en-US"/>
              </w:rPr>
              <w:t>30～</w:t>
            </w:r>
            <w:r>
              <w:rPr>
                <w:rFonts w:hint="eastAsia"/>
              </w:rPr>
              <w:t>16:0</w:t>
            </w:r>
            <w:r>
              <w:rPr>
                <w:rFonts w:hint="eastAsia"/>
                <w:lang w:eastAsia="en-US"/>
              </w:rPr>
              <w:t>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进行赛题</w:t>
            </w:r>
            <w:r>
              <w:rPr>
                <w:rFonts w:hint="eastAsia"/>
                <w:lang w:val="en-US"/>
              </w:rPr>
              <w:t>安全</w:t>
            </w:r>
            <w:r>
              <w:rPr>
                <w:rFonts w:hint="eastAsia"/>
              </w:rPr>
              <w:t>技术交底和答疑、熟悉实操考位</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16:00-16:30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选手工具、设备进场，</w:t>
            </w:r>
            <w:r>
              <w:rPr>
                <w:rFonts w:hint="eastAsia"/>
                <w:lang w:val="en-US" w:eastAsia="zh-CN"/>
              </w:rPr>
              <w:t>封存赛场，</w:t>
            </w:r>
            <w:r>
              <w:rPr>
                <w:rFonts w:hint="eastAsia"/>
              </w:rPr>
              <w:t>做好赛前准备</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restart"/>
            <w:vAlign w:val="center"/>
          </w:tcPr>
          <w:p>
            <w:pPr>
              <w:keepNext w:val="0"/>
              <w:keepLines w:val="0"/>
              <w:pageBreakBefore w:val="0"/>
              <w:widowControl/>
              <w:wordWrap/>
              <w:overflowPunct/>
              <w:topLinePunct w:val="0"/>
              <w:bidi w:val="0"/>
              <w:spacing w:line="360" w:lineRule="auto"/>
              <w:jc w:val="center"/>
              <w:rPr>
                <w:rFonts w:hint="eastAsia" w:ascii="仿宋_GB2312" w:hAnsi="仿宋_GB2312" w:eastAsia="仿宋_GB2312" w:cs="仿宋_GB2312"/>
                <w:kern w:val="0"/>
                <w:sz w:val="22"/>
                <w:szCs w:val="22"/>
                <w:lang w:eastAsia="en-US" w:bidi="ar"/>
              </w:rPr>
            </w:pPr>
            <w:r>
              <w:rPr>
                <w:rFonts w:hint="eastAsia" w:ascii="仿宋_GB2312" w:hAnsi="仿宋_GB2312" w:eastAsia="仿宋_GB2312" w:cs="仿宋_GB2312"/>
                <w:kern w:val="0"/>
                <w:sz w:val="22"/>
                <w:szCs w:val="22"/>
                <w:lang w:eastAsia="en-US" w:bidi="ar"/>
              </w:rPr>
              <w:t>C1</w:t>
            </w: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8:00-8:30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选手检录</w:t>
            </w:r>
          </w:p>
        </w:tc>
        <w:tc>
          <w:tcPr>
            <w:tcW w:w="2129" w:type="dxa"/>
            <w:vMerge w:val="restart"/>
            <w:vAlign w:val="center"/>
          </w:tcPr>
          <w:p>
            <w:pPr>
              <w:pStyle w:val="16"/>
              <w:keepNext w:val="0"/>
              <w:keepLines w:val="0"/>
              <w:pageBreakBefore w:val="0"/>
              <w:wordWrap/>
              <w:overflowPunct/>
              <w:topLinePunct w:val="0"/>
              <w:bidi w:val="0"/>
              <w:spacing w:before="0" w:line="360" w:lineRule="auto"/>
              <w:rPr>
                <w:rFonts w:hint="eastAsia"/>
              </w:rPr>
            </w:pPr>
            <w:r>
              <w:rPr>
                <w:rFonts w:hint="eastAsi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8:30-9:30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单号工位进场放样切割1小时</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9</w:t>
            </w:r>
            <w:r>
              <w:rPr>
                <w:rFonts w:hint="eastAsia"/>
                <w:lang w:eastAsia="en-US"/>
              </w:rPr>
              <w:t>:</w:t>
            </w:r>
            <w:r>
              <w:rPr>
                <w:rFonts w:hint="eastAsia"/>
              </w:rPr>
              <w:t>3</w:t>
            </w:r>
            <w:r>
              <w:rPr>
                <w:rFonts w:hint="eastAsia"/>
                <w:lang w:eastAsia="en-US"/>
              </w:rPr>
              <w:t>0～</w:t>
            </w:r>
            <w:r>
              <w:rPr>
                <w:rFonts w:hint="eastAsia"/>
              </w:rPr>
              <w:t>10</w:t>
            </w:r>
            <w:r>
              <w:rPr>
                <w:rFonts w:hint="eastAsia"/>
                <w:lang w:eastAsia="en-US"/>
              </w:rPr>
              <w:t>:</w:t>
            </w:r>
            <w:r>
              <w:rPr>
                <w:rFonts w:hint="eastAsia"/>
              </w:rPr>
              <w:t>3</w:t>
            </w:r>
            <w:r>
              <w:rPr>
                <w:rFonts w:hint="eastAsia"/>
                <w:lang w:eastAsia="en-US"/>
              </w:rPr>
              <w:t>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双号工位进场放样切割1小时</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10:40-10:50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休息10分钟</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10:50-12:20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竞</w:t>
            </w:r>
            <w:r>
              <w:rPr>
                <w:rFonts w:hint="eastAsia"/>
                <w:lang w:eastAsia="en-US"/>
              </w:rPr>
              <w:t>赛</w:t>
            </w:r>
            <w:r>
              <w:rPr>
                <w:rFonts w:hint="eastAsia"/>
              </w:rPr>
              <w:t>1.5</w:t>
            </w:r>
            <w:r>
              <w:rPr>
                <w:rFonts w:hint="eastAsia"/>
                <w:lang w:eastAsia="en-US"/>
              </w:rPr>
              <w:t>小时</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12</w:t>
            </w:r>
            <w:r>
              <w:rPr>
                <w:rFonts w:hint="eastAsia"/>
                <w:lang w:eastAsia="en-US"/>
              </w:rPr>
              <w:t>:</w:t>
            </w:r>
            <w:r>
              <w:rPr>
                <w:rFonts w:hint="eastAsia"/>
              </w:rPr>
              <w:t>2</w:t>
            </w:r>
            <w:r>
              <w:rPr>
                <w:rFonts w:hint="eastAsia"/>
                <w:lang w:eastAsia="en-US"/>
              </w:rPr>
              <w:t>0～</w:t>
            </w:r>
            <w:r>
              <w:rPr>
                <w:rFonts w:hint="eastAsia"/>
              </w:rPr>
              <w:t>13</w:t>
            </w:r>
            <w:r>
              <w:rPr>
                <w:rFonts w:hint="eastAsia"/>
                <w:lang w:eastAsia="en-US"/>
              </w:rPr>
              <w:t>:</w:t>
            </w:r>
            <w:r>
              <w:rPr>
                <w:rFonts w:hint="eastAsia"/>
              </w:rPr>
              <w:t>3</w:t>
            </w:r>
            <w:r>
              <w:rPr>
                <w:rFonts w:hint="eastAsia"/>
                <w:lang w:eastAsia="en-US"/>
              </w:rPr>
              <w:t>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午餐及休息</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lang w:eastAsia="en-US"/>
              </w:rPr>
              <w:t>1</w:t>
            </w:r>
            <w:r>
              <w:rPr>
                <w:rFonts w:hint="eastAsia"/>
              </w:rPr>
              <w:t>3</w:t>
            </w:r>
            <w:r>
              <w:rPr>
                <w:rFonts w:hint="eastAsia"/>
                <w:lang w:eastAsia="en-US"/>
              </w:rPr>
              <w:t>:</w:t>
            </w:r>
            <w:r>
              <w:rPr>
                <w:rFonts w:hint="eastAsia"/>
              </w:rPr>
              <w:t>3</w:t>
            </w:r>
            <w:r>
              <w:rPr>
                <w:rFonts w:hint="eastAsia"/>
                <w:lang w:eastAsia="en-US"/>
              </w:rPr>
              <w:t>0～1</w:t>
            </w:r>
            <w:r>
              <w:rPr>
                <w:rFonts w:hint="eastAsia"/>
              </w:rPr>
              <w:t>6</w:t>
            </w:r>
            <w:r>
              <w:rPr>
                <w:rFonts w:hint="eastAsia"/>
                <w:lang w:eastAsia="en-US"/>
              </w:rPr>
              <w:t>:</w:t>
            </w:r>
            <w:r>
              <w:rPr>
                <w:rFonts w:hint="eastAsia"/>
              </w:rPr>
              <w:t>3</w:t>
            </w:r>
            <w:r>
              <w:rPr>
                <w:rFonts w:hint="eastAsia"/>
                <w:lang w:eastAsia="en-US"/>
              </w:rPr>
              <w:t>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竞赛3小时</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restart"/>
            <w:vAlign w:val="center"/>
          </w:tcPr>
          <w:p>
            <w:pPr>
              <w:pStyle w:val="16"/>
              <w:keepNext w:val="0"/>
              <w:keepLines w:val="0"/>
              <w:pageBreakBefore w:val="0"/>
              <w:wordWrap/>
              <w:overflowPunct/>
              <w:topLinePunct w:val="0"/>
              <w:bidi w:val="0"/>
              <w:spacing w:before="0" w:line="360" w:lineRule="auto"/>
              <w:rPr>
                <w:rFonts w:hint="eastAsia"/>
              </w:rPr>
            </w:pPr>
            <w:r>
              <w:rPr>
                <w:rFonts w:hint="eastAsia"/>
              </w:rPr>
              <w:t>C2</w:t>
            </w: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8:00-8:30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选手检录</w:t>
            </w:r>
          </w:p>
        </w:tc>
        <w:tc>
          <w:tcPr>
            <w:tcW w:w="2129" w:type="dxa"/>
            <w:vMerge w:val="restart"/>
            <w:vAlign w:val="center"/>
          </w:tcPr>
          <w:p>
            <w:pPr>
              <w:pStyle w:val="16"/>
              <w:keepNext w:val="0"/>
              <w:keepLines w:val="0"/>
              <w:pageBreakBefore w:val="0"/>
              <w:wordWrap/>
              <w:overflowPunct/>
              <w:topLinePunct w:val="0"/>
              <w:bidi w:val="0"/>
              <w:spacing w:before="0" w:line="360" w:lineRule="auto"/>
              <w:rPr>
                <w:rFonts w:hint="eastAsia"/>
              </w:rPr>
            </w:pPr>
            <w:r>
              <w:rPr>
                <w:rFonts w:hint="eastAsia"/>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8:30-10:30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竞赛2小时</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95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c>
          <w:tcPr>
            <w:tcW w:w="170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10:30-12:00</w:t>
            </w:r>
          </w:p>
        </w:tc>
        <w:tc>
          <w:tcPr>
            <w:tcW w:w="3727" w:type="dxa"/>
            <w:vAlign w:val="center"/>
          </w:tcPr>
          <w:p>
            <w:pPr>
              <w:pStyle w:val="16"/>
              <w:keepNext w:val="0"/>
              <w:keepLines w:val="0"/>
              <w:pageBreakBefore w:val="0"/>
              <w:wordWrap/>
              <w:overflowPunct/>
              <w:topLinePunct w:val="0"/>
              <w:bidi w:val="0"/>
              <w:spacing w:before="0" w:line="360" w:lineRule="auto"/>
              <w:rPr>
                <w:rFonts w:hint="eastAsia"/>
              </w:rPr>
            </w:pPr>
            <w:r>
              <w:rPr>
                <w:rFonts w:hint="eastAsia"/>
              </w:rPr>
              <w:t>测量评分</w:t>
            </w:r>
          </w:p>
        </w:tc>
        <w:tc>
          <w:tcPr>
            <w:tcW w:w="2129" w:type="dxa"/>
            <w:vMerge w:val="continue"/>
            <w:vAlign w:val="center"/>
          </w:tcPr>
          <w:p>
            <w:pPr>
              <w:pStyle w:val="16"/>
              <w:keepNext w:val="0"/>
              <w:keepLines w:val="0"/>
              <w:pageBreakBefore w:val="0"/>
              <w:wordWrap/>
              <w:overflowPunct/>
              <w:topLinePunct w:val="0"/>
              <w:bidi w:val="0"/>
              <w:spacing w:before="0" w:line="360" w:lineRule="auto"/>
              <w:rPr>
                <w:rFonts w:hint="eastAsia"/>
              </w:rPr>
            </w:pPr>
          </w:p>
        </w:tc>
      </w:tr>
    </w:tbl>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24" w:name="_Toc86173554"/>
      <w:bookmarkStart w:id="25" w:name="_Toc1250"/>
      <w:r>
        <w:rPr>
          <w:rFonts w:hint="eastAsia" w:ascii="宋体" w:hAnsi="宋体" w:eastAsia="宋体" w:cs="宋体"/>
          <w:b/>
          <w:bCs/>
          <w:sz w:val="30"/>
          <w:szCs w:val="30"/>
        </w:rPr>
        <w:t>（二）工作要求</w:t>
      </w:r>
      <w:bookmarkEnd w:id="24"/>
      <w:bookmarkEnd w:id="25"/>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1.选手工作要求</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参赛选手应提前15分钟携带自备工具，持大赛选手证、身份证及抽取的工位号进入赛场，接受裁判对所带物品的检查。同时选手应自检下列事项：材料规格是否符合要求；材料数量是否准确；砖块、砂浆、水等是否齐全；材料尺寸是否准确。如有不符合要求的情况，须在比赛开始前提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（2）比赛正式开始后，迟到30分钟以上者，不得进入赛场。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（3）选手着装整洁，劳动保护用品佩戴齐全。</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（4）选手应使用赛场提供的设备和工具，以及本技术文件中所列的选手自带并经裁判允许的设备和工具。</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（5）参赛选手应听从裁判长发布竞赛开始指令后正式开始竞赛，充分利用现场提供的所有条件完成竞赛任务。</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（6）在竞赛过程中，选手应遵守安全操作规程，接受裁判员的监督和警示，确保参赛选手人身安全及设备安全。</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（7）因参赛选手个人误操作造成人身安全事故或设备故障时，裁判长有权中止选手竞赛。</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8）如非参赛选手个人因素出现的设备或工具故障而无法继续竞赛时，参赛选手可提出更换设备或工具的要求（选手自带设备和工具赛场不负责更换），同意并更换后，参赛选手可继续参加竞赛，并给参赛选手补足所耽误的竞赛时间。</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（9）参赛选手如提前结束竞赛，应举手向裁判员报告，竞赛结束时间由裁判员进行记录。参赛选手结束竞赛后不得再进行任何操作，离场后也不得再进入赛场。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（10）裁判长在竞赛结束前30分钟、10分钟进行竞赛剩余时间提醒。裁判长发布竞赛结束指令后，所有参赛选手应立即停止操作。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（11）选手竞赛过程中材料因使用不当造成材料缺失，应举手申请，由场地经理协调增加，自己不得自行增加。</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（12）选手进入赛区应主动上交手机等智能化电子产品统一封存，在评分完全结束之前，不能进入赛场拍照。</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（13）选手竞赛过程中不得接受任何形式的指导。不得携带其他未经</w:t>
      </w:r>
      <w:r>
        <w:rPr>
          <w:rFonts w:hint="eastAsia" w:ascii="仿宋_GB2312" w:hAnsi="仿宋_GB2312" w:eastAsia="仿宋_GB2312" w:cs="仿宋_GB2312"/>
          <w:spacing w:val="-1"/>
          <w:sz w:val="24"/>
          <w:lang w:eastAsia="zh-CN"/>
        </w:rPr>
        <w:t>大赛执委会</w:t>
      </w:r>
      <w:r>
        <w:rPr>
          <w:rFonts w:hint="eastAsia" w:ascii="仿宋_GB2312" w:hAnsi="仿宋_GB2312" w:eastAsia="仿宋_GB2312" w:cs="仿宋_GB2312"/>
          <w:spacing w:val="-1"/>
          <w:sz w:val="24"/>
        </w:rPr>
        <w:t>认可的设备、工具、机具、材料等参赛。不得接受场外送进的材料、加工过的半成品。不得损坏、拆卸、改装赛场提供的设备、工具和工作台等设施不听劝告的取消比赛资格。</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2.裁判人员构成和分工</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（1）裁判组构成</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裁判长1名。裁判员由各参赛代表队推荐和大赛</w:t>
      </w:r>
      <w:r>
        <w:rPr>
          <w:rFonts w:hint="eastAsia" w:ascii="仿宋_GB2312" w:hAnsi="仿宋_GB2312" w:eastAsia="仿宋_GB2312" w:cs="仿宋_GB2312"/>
          <w:spacing w:val="-1"/>
          <w:sz w:val="24"/>
          <w:lang w:eastAsia="zh-CN"/>
        </w:rPr>
        <w:t>大赛执委会</w:t>
      </w:r>
      <w:r>
        <w:rPr>
          <w:rFonts w:hint="eastAsia" w:ascii="仿宋_GB2312" w:hAnsi="仿宋_GB2312" w:eastAsia="仿宋_GB2312" w:cs="仿宋_GB2312"/>
          <w:spacing w:val="-1"/>
          <w:sz w:val="24"/>
        </w:rPr>
        <w:t>邀请的专家组成。</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（2）裁判组职责</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裁判组成员负责赛项赛务工作。主要包括参与确定竞赛项目和比赛规则、评分标准及相关竞赛技术性文件；负责竞赛场地、设备等的检验；负责全过程竞赛的执裁工作。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（3）裁判长职责：</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全面负责竞赛技术、裁判及争议处置等工作。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解读考核试题及技术文件，牵头组织开展裁判员培训会议。</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安排裁判任务分工，监督裁判员各项工作。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现场裁定有关裁判争议，协助仲裁组做出仲裁处理。</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对扰乱赛场秩序，干扰裁判员工作，经裁判长组织讨论后酌情扣分，情况严重者取消竞赛资格。</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裁判长在裁判员测评中，可随意进行抽查，若出现问题，第一次进行警告，第二次取消裁判资格。</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（4）裁判员职责：</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按照裁判长分工，具体承担比赛现场赛务工作，公平公正开展具体裁判和测评工作，并对执裁工作的评判结果签字确认。</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查看选手身份证和随身佩戴的对应工位号。</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组织选手在赛前检查环境、设备、工具等，选手签字确认，审核选手自带设备工具是否符合要求，保障选手人身安全和设备正常使用。</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协助裁判长解答技术及考核工作问题。</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详实记录选手考核过程，及时提出意见建议。</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遵照执行考核回避、保密等规则及议定事项。</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接受裁判长和监督仲裁组的抽查和监督。</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3.裁判工作要求</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（1）裁判员出入赛场要佩戴胸牌，衣着整齐，举止大方，不大声喧哗，听从指挥，服从</w:t>
      </w:r>
      <w:r>
        <w:rPr>
          <w:rFonts w:hint="eastAsia" w:ascii="仿宋_GB2312" w:hAnsi="仿宋_GB2312" w:eastAsia="仿宋_GB2312" w:cs="仿宋_GB2312"/>
          <w:spacing w:val="-1"/>
          <w:sz w:val="24"/>
          <w:lang w:eastAsia="zh-CN"/>
        </w:rPr>
        <w:t>大赛执委会</w:t>
      </w:r>
      <w:r>
        <w:rPr>
          <w:rFonts w:hint="eastAsia" w:ascii="仿宋_GB2312" w:hAnsi="仿宋_GB2312" w:eastAsia="仿宋_GB2312" w:cs="仿宋_GB2312"/>
          <w:spacing w:val="-1"/>
          <w:sz w:val="24"/>
        </w:rPr>
        <w:t>、裁判长和赛方安排开展工作。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（2）裁判员要严格遵守保密规定，正式比赛期间，不允许携带通信设备、智能设备、存储设备，竞赛期间，不允许泄露任何竞赛信息，不允许单独离开赛场或单独与场外人员交流沟通。</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（3）裁判过程中实行回避政策，各代表队推荐的裁判员不参与本单位参赛选手的执裁、测量、打分等工作，不得与本单位参赛选手现场交流、指导。</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（4）各项目裁判组在选手报到、检录阶段，要按照本项目竞赛细则要求，对选手携带的工具等进行严格检查，避免选手违规携带物品进入赛场对比赛成绩造成影响。</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（5）执裁过程中，出现技术争议、测评争议等问题由裁判长负责解释并裁定。</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6）裁判员出现违反保密规定和回避政策，干扰正常裁判工作，扰乱竞赛现场秩序，破坏选手作品，有测量错误、恶意打分等违规行为的，由裁判长主持，裁判组讨论后可暂时停止其执裁工作，情节严重的，直接取消裁判员资格。裁判员的违规行为将连带本代表队选手成绩，若裁判员因严重违纪将取消裁判员资格。</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26" w:name="_Toc9054"/>
      <w:bookmarkStart w:id="27" w:name="_Toc86173555"/>
      <w:r>
        <w:rPr>
          <w:rFonts w:hint="eastAsia" w:ascii="宋体" w:hAnsi="宋体" w:eastAsia="宋体" w:cs="宋体"/>
          <w:b/>
          <w:bCs/>
          <w:sz w:val="30"/>
          <w:szCs w:val="30"/>
        </w:rPr>
        <w:t>（三）赛场纪律</w:t>
      </w:r>
      <w:bookmarkEnd w:id="26"/>
      <w:bookmarkEnd w:id="27"/>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1.选手必须持本人身份证和赛区</w:t>
      </w:r>
      <w:r>
        <w:rPr>
          <w:rFonts w:hint="eastAsia" w:ascii="仿宋_GB2312" w:hAnsi="仿宋_GB2312" w:eastAsia="仿宋_GB2312" w:cs="仿宋_GB2312"/>
          <w:spacing w:val="-1"/>
          <w:sz w:val="24"/>
          <w:lang w:eastAsia="zh-CN"/>
        </w:rPr>
        <w:t>大赛执委会</w:t>
      </w:r>
      <w:r>
        <w:rPr>
          <w:rFonts w:hint="eastAsia" w:ascii="仿宋_GB2312" w:hAnsi="仿宋_GB2312" w:eastAsia="仿宋_GB2312" w:cs="仿宋_GB2312"/>
          <w:spacing w:val="-1"/>
          <w:sz w:val="24"/>
        </w:rPr>
        <w:t>签发的参赛选手证参加竞赛。</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2.选手要衣冠整洁，符合劳动保护要求，可以自备工具腰带、腰包、工具箱。</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3.选手自带的工具要经过现场裁判员的审核，裁判长需组织裁判员在赛前对所有选手的自带工具进行检查,符合竞赛规定和安全要求方可使用。如有争议，裁判长将组织裁判员进行表决。</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4.竞赛过程中严禁接受任何形式的场外指导。</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5.选手在竞赛时的饮食或入厕时间均计算在竞赛时间内。</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6.选手须严格遵守安全操作规程及劳动保护要求，接受裁判员、现场技术服务人员的监督和警示，确保设备及人身安全。</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7.在使用切割机时，选手一次只能切割一块砖或切割一块砌块。</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8.选手若提前结束竞赛，应向裁判员举手示意，竞赛终止时间由裁判员记录，参赛队在结束竞赛后不得再进行任何操作。</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9.当天竞赛结束后，选手必须清理各自的工位，在清理过程中不得去触碰自己或者其他选手的作品。</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10.所有的图纸和参赛信息必须妥善保存，并在每一个工作段结束后上交，不允许带出赛场。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11.任何设备故障必须立即上报裁判，补充时间由专家和裁判共同决定。</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12.参赛者可以在比赛项目中使用虚拟缝（假缝），只有清水可以用来清洁砖和砌块。</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13.评分期间将使用选手的卷尺和水平尺，在评分期间，选手有责任提供自己的测量工具，否则将由裁判组决定使用何种工具进行评分。</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14.比赛期间各队领队、选手教练人员等非涉赛人员、媒体等未取得竞赛</w:t>
      </w:r>
      <w:r>
        <w:rPr>
          <w:rFonts w:hint="eastAsia" w:ascii="仿宋_GB2312" w:hAnsi="仿宋_GB2312" w:eastAsia="仿宋_GB2312" w:cs="仿宋_GB2312"/>
          <w:spacing w:val="-1"/>
          <w:sz w:val="24"/>
          <w:lang w:eastAsia="zh-CN"/>
        </w:rPr>
        <w:t>大赛执委会</w:t>
      </w:r>
      <w:r>
        <w:rPr>
          <w:rFonts w:hint="eastAsia" w:ascii="仿宋_GB2312" w:hAnsi="仿宋_GB2312" w:eastAsia="仿宋_GB2312" w:cs="仿宋_GB2312"/>
          <w:spacing w:val="-1"/>
          <w:sz w:val="24"/>
        </w:rPr>
        <w:t>核准的人员不得进入比赛区域。</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15.所有执裁人员进入赛区即统一封存手机等智能化电子产品，在评分完全结束后，方可进入赛场拍照。</w:t>
      </w:r>
    </w:p>
    <w:p>
      <w:pPr>
        <w:keepNext w:val="0"/>
        <w:keepLines w:val="0"/>
        <w:pageBreakBefore w:val="0"/>
        <w:numPr>
          <w:ilvl w:val="0"/>
          <w:numId w:val="2"/>
        </w:numPr>
        <w:wordWrap/>
        <w:overflowPunct/>
        <w:topLinePunct w:val="0"/>
        <w:bidi w:val="0"/>
        <w:adjustRightInd w:val="0"/>
        <w:snapToGrid w:val="0"/>
        <w:spacing w:line="360" w:lineRule="auto"/>
        <w:outlineLvl w:val="0"/>
        <w:rPr>
          <w:rFonts w:ascii="黑体" w:hAnsi="黑体" w:eastAsia="黑体" w:cs="黑体"/>
          <w:sz w:val="32"/>
          <w:szCs w:val="32"/>
        </w:rPr>
      </w:pPr>
      <w:bookmarkStart w:id="28" w:name="_Toc30652"/>
      <w:bookmarkStart w:id="29" w:name="_Toc86173556"/>
      <w:r>
        <w:rPr>
          <w:rFonts w:hint="eastAsia" w:ascii="黑体" w:hAnsi="黑体" w:eastAsia="黑体" w:cs="黑体"/>
          <w:sz w:val="32"/>
          <w:szCs w:val="32"/>
        </w:rPr>
        <w:t>竞赛场地、设施设备</w:t>
      </w:r>
      <w:bookmarkEnd w:id="28"/>
      <w:bookmarkEnd w:id="29"/>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30" w:name="_Toc86173557"/>
      <w:bookmarkStart w:id="31" w:name="_Toc29149"/>
      <w:r>
        <w:rPr>
          <w:rFonts w:hint="eastAsia" w:ascii="宋体" w:hAnsi="宋体" w:eastAsia="宋体" w:cs="宋体"/>
          <w:b/>
          <w:bCs/>
          <w:sz w:val="30"/>
          <w:szCs w:val="30"/>
        </w:rPr>
        <w:t>（一）赛场规格要求</w:t>
      </w:r>
      <w:bookmarkEnd w:id="30"/>
      <w:bookmarkEnd w:id="31"/>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竞赛场地每个工位长宽均为4米。</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赛场采光、照明和通风良好，光线充足，设置裁判工作区域，便于比赛和裁判办公，在不影响选手竞赛的情况下，设置参观通道。</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竞赛场地必须提供足够的干粉灭火器，至少保证两个消防通道畅通无阻。</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设置消防应急逃生路线标识，标识明显清晰，有危险的位置，要标明警示牌，必要时要张贴设备安全使用说明书。</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进入赛场的人员不得将任何易燃易爆危险物品带入赛场。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赛场内禁止吸烟，张贴禁烟标识，指定专员进行赛前消防检查，并在竞赛过程中巡视检查，确保竞赛顺利进行。</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32" w:name="_Toc18875"/>
      <w:bookmarkStart w:id="33" w:name="_Toc86173558"/>
      <w:r>
        <w:rPr>
          <w:rFonts w:hint="eastAsia" w:ascii="宋体" w:hAnsi="宋体" w:eastAsia="宋体" w:cs="宋体"/>
          <w:b/>
          <w:bCs/>
          <w:sz w:val="30"/>
          <w:szCs w:val="30"/>
        </w:rPr>
        <w:t>（二）场地布局</w:t>
      </w:r>
      <w:bookmarkEnd w:id="32"/>
      <w:bookmarkEnd w:id="33"/>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参见附件2。</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34" w:name="_Toc86173559"/>
      <w:bookmarkStart w:id="35" w:name="_Toc11150"/>
      <w:r>
        <w:rPr>
          <w:rFonts w:hint="eastAsia" w:ascii="宋体" w:hAnsi="宋体" w:eastAsia="宋体" w:cs="宋体"/>
          <w:b/>
          <w:bCs/>
          <w:sz w:val="30"/>
          <w:szCs w:val="30"/>
        </w:rPr>
        <w:t>（三）基础设施清单</w:t>
      </w:r>
      <w:bookmarkEnd w:id="34"/>
      <w:bookmarkEnd w:id="35"/>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1.公用设备</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现场应配备能满足所有选手使用砂浆的搅拌机和运输车。</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2.裁判员办公设备</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裁判办公区域配置1台办公电脑、1台带复印功能的打印机。倒计时器1个、数显时钟1个。</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3.测量检测设备</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数显尺、水平尺、靠尺、卷尺各2套，阶梯塞尺4把。</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4.选手工位设备</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砌筑项目赛场统一提供设施、设备清单表和砌筑项目选手自带工具、材料清单表参见（附件3）。</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参赛者可视自身情况自行决定所带参赛工具。参赛者在比赛中不允许使用30度、45度、60度和90度以外角度的角尺或模具尺。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5.禁止携带物品</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不允许选手把个人打印的图纸、放样纸及任何形式的放样模板、资料、笔记本电脑、平板电脑或者手机带进赛场。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为竞赛用电安全考虑，选手不允许携带任何切割机及插电设备进场，只允许使用赛场提供的石材切割机。</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专家和裁判只能在专家室使用个人电脑和平板电脑，不允许在赛场使用手机。</w:t>
      </w:r>
    </w:p>
    <w:p>
      <w:pPr>
        <w:keepNext w:val="0"/>
        <w:keepLines w:val="0"/>
        <w:pageBreakBefore w:val="0"/>
        <w:numPr>
          <w:ilvl w:val="0"/>
          <w:numId w:val="2"/>
        </w:numPr>
        <w:wordWrap/>
        <w:overflowPunct/>
        <w:topLinePunct w:val="0"/>
        <w:bidi w:val="0"/>
        <w:adjustRightInd w:val="0"/>
        <w:snapToGrid w:val="0"/>
        <w:spacing w:line="360" w:lineRule="auto"/>
        <w:outlineLvl w:val="0"/>
        <w:rPr>
          <w:rFonts w:ascii="黑体" w:hAnsi="黑体" w:eastAsia="黑体" w:cs="黑体"/>
          <w:sz w:val="32"/>
          <w:szCs w:val="32"/>
        </w:rPr>
      </w:pPr>
      <w:bookmarkStart w:id="36" w:name="_Toc21825"/>
      <w:bookmarkStart w:id="37" w:name="_Toc86173560"/>
      <w:r>
        <w:rPr>
          <w:rFonts w:hint="eastAsia" w:ascii="黑体" w:hAnsi="黑体" w:eastAsia="黑体" w:cs="黑体"/>
          <w:sz w:val="32"/>
          <w:szCs w:val="32"/>
        </w:rPr>
        <w:t>安全、健康要求</w:t>
      </w:r>
      <w:bookmarkEnd w:id="36"/>
      <w:bookmarkEnd w:id="37"/>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38" w:name="_Toc2131"/>
      <w:bookmarkStart w:id="39" w:name="_Toc86173561"/>
      <w:r>
        <w:rPr>
          <w:rFonts w:hint="eastAsia" w:ascii="宋体" w:hAnsi="宋体" w:eastAsia="宋体" w:cs="宋体"/>
          <w:b/>
          <w:bCs/>
          <w:sz w:val="30"/>
          <w:szCs w:val="30"/>
        </w:rPr>
        <w:t>（一）选手安全防护措施要求</w:t>
      </w:r>
      <w:bookmarkEnd w:id="38"/>
      <w:bookmarkEnd w:id="39"/>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在比赛开始前，充分了解安全的工作方法和安全使用情况，以确保安全。</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选手必须按照主办地的安全标准要求，配备个人防护用品， 包括防护镜、耳塞、带钢板的劳保鞋。</w:t>
      </w:r>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选手在竞赛切割期间必须戴防护镜、耳塞、带钢板的劳保鞋，不允许戴手套。</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40" w:name="_Toc86173562"/>
      <w:bookmarkStart w:id="41" w:name="_Toc17799"/>
      <w:r>
        <w:rPr>
          <w:rFonts w:hint="eastAsia" w:ascii="宋体" w:hAnsi="宋体" w:eastAsia="宋体" w:cs="宋体"/>
          <w:b/>
          <w:bCs/>
          <w:sz w:val="30"/>
          <w:szCs w:val="30"/>
        </w:rPr>
        <w:t>（二）熟知有关用电安全说明</w:t>
      </w:r>
      <w:bookmarkEnd w:id="40"/>
      <w:bookmarkEnd w:id="41"/>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竞赛场地为保证安全用电，禁止滥用电气设备。竞赛场地划分搅拌区，切割区和选手操作工位区。切割区统一配置大型带水切割机，选手操作工位区不配置电源。</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42" w:name="_Toc86173563"/>
      <w:bookmarkStart w:id="43" w:name="_Toc5599"/>
      <w:r>
        <w:rPr>
          <w:rFonts w:hint="eastAsia" w:ascii="宋体" w:hAnsi="宋体" w:eastAsia="宋体" w:cs="宋体"/>
          <w:b/>
          <w:bCs/>
          <w:sz w:val="30"/>
          <w:szCs w:val="30"/>
        </w:rPr>
        <w:t>（三）环境卫生</w:t>
      </w:r>
      <w:bookmarkEnd w:id="42"/>
      <w:bookmarkEnd w:id="43"/>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保持地面整洁，环境卫生，做到整理、整顿、清扫、清洁和素养。</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44" w:name="_Toc11113"/>
      <w:bookmarkStart w:id="45" w:name="_Toc86173564"/>
      <w:r>
        <w:rPr>
          <w:rFonts w:hint="eastAsia" w:ascii="宋体" w:hAnsi="宋体" w:eastAsia="宋体" w:cs="宋体"/>
          <w:b/>
          <w:bCs/>
          <w:sz w:val="30"/>
          <w:szCs w:val="30"/>
        </w:rPr>
        <w:t>（四）有毒有害物品的管理和限制</w:t>
      </w:r>
      <w:bookmarkEnd w:id="44"/>
      <w:bookmarkEnd w:id="45"/>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严谨携带一切易燃易爆危险品，赛场避免堆积任何的废纸或者其他易燃材料，废弃物，如纸张、包装等必须摆放在专门的垃圾箱中，垃圾箱每日至少倒空一次，转移到场地之外的垃圾容器中。</w:t>
      </w:r>
    </w:p>
    <w:p>
      <w:pPr>
        <w:keepNext w:val="0"/>
        <w:keepLines w:val="0"/>
        <w:pageBreakBefore w:val="0"/>
        <w:wordWrap/>
        <w:overflowPunct/>
        <w:topLinePunct w:val="0"/>
        <w:bidi w:val="0"/>
        <w:adjustRightInd w:val="0"/>
        <w:snapToGrid w:val="0"/>
        <w:spacing w:line="360" w:lineRule="auto"/>
        <w:outlineLvl w:val="1"/>
        <w:rPr>
          <w:rFonts w:ascii="宋体" w:hAnsi="宋体" w:eastAsia="宋体" w:cs="宋体"/>
          <w:b/>
          <w:bCs/>
          <w:sz w:val="30"/>
          <w:szCs w:val="30"/>
        </w:rPr>
      </w:pPr>
      <w:bookmarkStart w:id="46" w:name="_Toc86173565"/>
      <w:bookmarkStart w:id="47" w:name="_Toc15303"/>
      <w:r>
        <w:rPr>
          <w:rFonts w:hint="eastAsia" w:ascii="宋体" w:hAnsi="宋体" w:eastAsia="宋体" w:cs="宋体"/>
          <w:b/>
          <w:bCs/>
          <w:sz w:val="30"/>
          <w:szCs w:val="30"/>
        </w:rPr>
        <w:t>（五）医疗设备和措施</w:t>
      </w:r>
      <w:bookmarkEnd w:id="46"/>
      <w:bookmarkEnd w:id="47"/>
    </w:p>
    <w:p>
      <w:pPr>
        <w:keepNext w:val="0"/>
        <w:keepLines w:val="0"/>
        <w:pageBreakBefore w:val="0"/>
        <w:wordWrap/>
        <w:overflowPunct/>
        <w:topLinePunct w:val="0"/>
        <w:bidi w:val="0"/>
        <w:spacing w:line="360" w:lineRule="auto"/>
        <w:ind w:left="238" w:firstLine="476" w:firstLineChars="200"/>
        <w:rPr>
          <w:rFonts w:ascii="仿宋_GB2312" w:hAnsi="仿宋_GB2312" w:eastAsia="仿宋_GB2312" w:cs="仿宋_GB2312"/>
          <w:spacing w:val="-1"/>
          <w:sz w:val="24"/>
        </w:rPr>
      </w:pPr>
      <w:r>
        <w:rPr>
          <w:rFonts w:hint="eastAsia" w:ascii="仿宋_GB2312" w:hAnsi="仿宋_GB2312" w:eastAsia="仿宋_GB2312" w:cs="仿宋_GB2312"/>
          <w:spacing w:val="-1"/>
          <w:sz w:val="24"/>
        </w:rPr>
        <w:t>赛场有值班医护人员，场地备有医药急救箱，包括外伤处理和急救药物。</w:t>
      </w:r>
    </w:p>
    <w:p>
      <w:pPr>
        <w:keepNext w:val="0"/>
        <w:keepLines w:val="0"/>
        <w:pageBreakBefore w:val="0"/>
        <w:wordWrap/>
        <w:overflowPunct/>
        <w:topLinePunct w:val="0"/>
        <w:bidi w:val="0"/>
        <w:spacing w:line="360" w:lineRule="auto"/>
        <w:rPr>
          <w:rFonts w:ascii="黑体" w:hAnsi="黑体" w:eastAsia="黑体"/>
        </w:rPr>
      </w:pPr>
      <w:r>
        <w:rPr>
          <w:rFonts w:hint="eastAsia" w:ascii="黑体" w:hAnsi="黑体" w:eastAsia="黑体"/>
          <w:sz w:val="32"/>
          <w:szCs w:val="32"/>
        </w:rPr>
        <w:t>注：未尽事宜以竞赛现场规定或竞赛</w:t>
      </w:r>
      <w:r>
        <w:rPr>
          <w:rFonts w:hint="eastAsia" w:ascii="黑体" w:hAnsi="黑体" w:eastAsia="黑体"/>
          <w:sz w:val="32"/>
          <w:szCs w:val="32"/>
          <w:lang w:eastAsia="zh-CN"/>
        </w:rPr>
        <w:t>大赛执委会</w:t>
      </w:r>
      <w:r>
        <w:rPr>
          <w:rFonts w:hint="eastAsia" w:ascii="黑体" w:hAnsi="黑体" w:eastAsia="黑体"/>
          <w:sz w:val="32"/>
          <w:szCs w:val="32"/>
        </w:rPr>
        <w:t>规定为准。</w:t>
      </w:r>
    </w:p>
    <w:p>
      <w:pPr>
        <w:keepNext w:val="0"/>
        <w:keepLines w:val="0"/>
        <w:pageBreakBefore w:val="0"/>
        <w:wordWrap/>
        <w:overflowPunct/>
        <w:topLinePunct w:val="0"/>
        <w:bidi w:val="0"/>
        <w:spacing w:line="360" w:lineRule="auto"/>
        <w:rPr>
          <w:rFonts w:hint="eastAsia" w:ascii="黑体" w:hAnsi="黑体" w:eastAsia="黑体" w:cs="黑体"/>
          <w:sz w:val="28"/>
          <w:szCs w:val="28"/>
        </w:rPr>
      </w:pPr>
      <w:bookmarkStart w:id="48" w:name="_Toc10668"/>
      <w:r>
        <w:rPr>
          <w:rFonts w:hint="eastAsia" w:ascii="黑体" w:hAnsi="黑体" w:eastAsia="黑体" w:cs="黑体"/>
          <w:sz w:val="28"/>
          <w:szCs w:val="28"/>
        </w:rPr>
        <w:br w:type="page"/>
      </w:r>
    </w:p>
    <w:p>
      <w:pPr>
        <w:keepNext w:val="0"/>
        <w:keepLines w:val="0"/>
        <w:pageBreakBefore w:val="0"/>
        <w:wordWrap/>
        <w:overflowPunct/>
        <w:topLinePunct w:val="0"/>
        <w:bidi w:val="0"/>
        <w:adjustRightInd w:val="0"/>
        <w:snapToGrid w:val="0"/>
        <w:spacing w:line="360" w:lineRule="auto"/>
        <w:outlineLvl w:val="0"/>
        <w:rPr>
          <w:rFonts w:ascii="黑体" w:hAnsi="黑体" w:eastAsia="黑体" w:cs="黑体"/>
          <w:sz w:val="28"/>
          <w:szCs w:val="28"/>
        </w:rPr>
      </w:pPr>
      <w:r>
        <w:rPr>
          <w:rFonts w:hint="eastAsia" w:ascii="黑体" w:hAnsi="黑体" w:eastAsia="黑体" w:cs="黑体"/>
          <w:sz w:val="28"/>
          <w:szCs w:val="28"/>
        </w:rPr>
        <w:t>附件1  样题</w:t>
      </w:r>
      <w:bookmarkEnd w:id="48"/>
    </w:p>
    <w:p>
      <w:pPr>
        <w:keepNext w:val="0"/>
        <w:keepLines w:val="0"/>
        <w:pageBreakBefore w:val="0"/>
        <w:wordWrap/>
        <w:overflowPunct/>
        <w:topLinePunct w:val="0"/>
        <w:bidi w:val="0"/>
        <w:spacing w:line="360" w:lineRule="auto"/>
        <w:jc w:val="center"/>
        <w:rPr>
          <w:rFonts w:ascii="黑体" w:hAnsi="黑体" w:eastAsia="黑体"/>
        </w:rPr>
      </w:pPr>
      <w:r>
        <w:drawing>
          <wp:inline distT="0" distB="0" distL="114300" distR="114300">
            <wp:extent cx="7028815" cy="5198110"/>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rot="5400000">
                      <a:off x="0" y="0"/>
                      <a:ext cx="7028815" cy="5198110"/>
                    </a:xfrm>
                    <a:prstGeom prst="rect">
                      <a:avLst/>
                    </a:prstGeom>
                    <a:noFill/>
                    <a:ln>
                      <a:noFill/>
                    </a:ln>
                  </pic:spPr>
                </pic:pic>
              </a:graphicData>
            </a:graphic>
          </wp:inline>
        </w:drawing>
      </w:r>
    </w:p>
    <w:p>
      <w:pPr>
        <w:keepNext w:val="0"/>
        <w:keepLines w:val="0"/>
        <w:pageBreakBefore w:val="0"/>
        <w:wordWrap/>
        <w:overflowPunct/>
        <w:topLinePunct w:val="0"/>
        <w:bidi w:val="0"/>
        <w:spacing w:line="360" w:lineRule="auto"/>
        <w:rPr>
          <w:rFonts w:ascii="仿宋" w:hAnsi="仿宋" w:eastAsia="仿宋"/>
          <w:b/>
          <w:szCs w:val="32"/>
        </w:rPr>
      </w:pPr>
      <w:r>
        <w:rPr>
          <w:rFonts w:ascii="仿宋" w:hAnsi="仿宋" w:eastAsia="仿宋"/>
          <w:b/>
          <w:szCs w:val="32"/>
        </w:rPr>
        <w:br w:type="page"/>
      </w:r>
    </w:p>
    <w:p>
      <w:pPr>
        <w:keepNext w:val="0"/>
        <w:keepLines w:val="0"/>
        <w:pageBreakBefore w:val="0"/>
        <w:wordWrap/>
        <w:overflowPunct/>
        <w:topLinePunct w:val="0"/>
        <w:bidi w:val="0"/>
        <w:adjustRightInd w:val="0"/>
        <w:snapToGrid w:val="0"/>
        <w:spacing w:line="360" w:lineRule="auto"/>
        <w:outlineLvl w:val="0"/>
        <w:rPr>
          <w:rFonts w:ascii="仿宋" w:hAnsi="仿宋" w:eastAsia="仿宋"/>
          <w:b/>
          <w:szCs w:val="32"/>
        </w:rPr>
      </w:pPr>
      <w:bookmarkStart w:id="49" w:name="_Toc3381"/>
      <w:r>
        <w:rPr>
          <w:rFonts w:hint="eastAsia" w:ascii="黑体" w:hAnsi="黑体" w:eastAsia="黑体" w:cs="黑体"/>
          <w:sz w:val="28"/>
          <w:szCs w:val="28"/>
        </w:rPr>
        <w:t>附件2 砌筑项目场地布局示意图</w:t>
      </w:r>
      <w:bookmarkEnd w:id="49"/>
    </w:p>
    <w:p>
      <w:pPr>
        <w:pStyle w:val="4"/>
        <w:keepNext w:val="0"/>
        <w:keepLines w:val="0"/>
        <w:pageBreakBefore w:val="0"/>
        <w:wordWrap/>
        <w:overflowPunct/>
        <w:topLinePunct w:val="0"/>
        <w:bidi w:val="0"/>
        <w:spacing w:line="360" w:lineRule="auto"/>
        <w:jc w:val="center"/>
      </w:pPr>
      <w:bookmarkStart w:id="50" w:name="_Toc12259"/>
      <w:r>
        <w:rPr>
          <w:rFonts w:hint="eastAsia"/>
        </w:rPr>
        <w:t>砌筑项目场地布局示意图</w:t>
      </w:r>
      <w:bookmarkEnd w:id="50"/>
      <w:r>
        <w:rPr>
          <w:rFonts w:hint="eastAsia"/>
        </w:rPr>
        <w:t>（根据场地实际情况调整）</w:t>
      </w:r>
    </w:p>
    <w:p>
      <w:pPr>
        <w:pStyle w:val="10"/>
        <w:keepNext w:val="0"/>
        <w:keepLines w:val="0"/>
        <w:pageBreakBefore w:val="0"/>
        <w:wordWrap/>
        <w:overflowPunct/>
        <w:topLinePunct w:val="0"/>
        <w:bidi w:val="0"/>
        <w:spacing w:line="360" w:lineRule="auto"/>
        <w:ind w:firstLine="0" w:firstLineChars="0"/>
        <w:jc w:val="center"/>
        <w:rPr>
          <w:rFonts w:ascii="仿宋" w:hAnsi="仿宋" w:eastAsia="仿宋"/>
          <w:szCs w:val="32"/>
        </w:rPr>
      </w:pPr>
      <w:r>
        <w:drawing>
          <wp:inline distT="0" distB="0" distL="114300" distR="114300">
            <wp:extent cx="7218680" cy="5127625"/>
            <wp:effectExtent l="0" t="0" r="3175"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rot="5400000">
                      <a:off x="0" y="0"/>
                      <a:ext cx="7218680" cy="5127625"/>
                    </a:xfrm>
                    <a:prstGeom prst="rect">
                      <a:avLst/>
                    </a:prstGeom>
                    <a:noFill/>
                    <a:ln>
                      <a:noFill/>
                    </a:ln>
                  </pic:spPr>
                </pic:pic>
              </a:graphicData>
            </a:graphic>
          </wp:inline>
        </w:drawing>
      </w:r>
    </w:p>
    <w:p>
      <w:pPr>
        <w:pStyle w:val="4"/>
        <w:keepNext w:val="0"/>
        <w:keepLines w:val="0"/>
        <w:pageBreakBefore w:val="0"/>
        <w:wordWrap/>
        <w:overflowPunct/>
        <w:topLinePunct w:val="0"/>
        <w:bidi w:val="0"/>
        <w:spacing w:line="360" w:lineRule="auto"/>
      </w:pPr>
      <w:bookmarkStart w:id="51" w:name="_Toc15946"/>
      <w:r>
        <w:rPr>
          <w:sz w:val="24"/>
          <w:szCs w:val="21"/>
        </w:rPr>
        <w:t>注</w:t>
      </w:r>
      <w:r>
        <w:rPr>
          <w:rFonts w:hint="eastAsia"/>
          <w:sz w:val="24"/>
          <w:szCs w:val="21"/>
        </w:rPr>
        <w:t>：每工位长4米，宽4米。切割区域与砌筑区域分离布置（赛场不为选手提供平板车等运输设备，由选手自行准备）赛场布局根据具体情况进行深化设计调整。</w:t>
      </w:r>
      <w:bookmarkEnd w:id="51"/>
    </w:p>
    <w:p>
      <w:pPr>
        <w:keepNext w:val="0"/>
        <w:keepLines w:val="0"/>
        <w:pageBreakBefore w:val="0"/>
        <w:wordWrap/>
        <w:overflowPunct/>
        <w:topLinePunct w:val="0"/>
        <w:bidi w:val="0"/>
        <w:spacing w:line="360" w:lineRule="auto"/>
        <w:rPr>
          <w:rFonts w:ascii="仿宋" w:hAnsi="仿宋" w:eastAsia="仿宋"/>
          <w:b/>
          <w:szCs w:val="32"/>
        </w:rPr>
      </w:pPr>
      <w:r>
        <w:rPr>
          <w:rFonts w:ascii="仿宋" w:hAnsi="仿宋" w:eastAsia="仿宋"/>
          <w:b/>
          <w:szCs w:val="32"/>
        </w:rPr>
        <w:br w:type="page"/>
      </w:r>
    </w:p>
    <w:p>
      <w:pPr>
        <w:keepNext w:val="0"/>
        <w:keepLines w:val="0"/>
        <w:pageBreakBefore w:val="0"/>
        <w:wordWrap/>
        <w:overflowPunct/>
        <w:topLinePunct w:val="0"/>
        <w:bidi w:val="0"/>
        <w:adjustRightInd w:val="0"/>
        <w:snapToGrid w:val="0"/>
        <w:spacing w:line="360" w:lineRule="auto"/>
        <w:outlineLvl w:val="0"/>
        <w:rPr>
          <w:rFonts w:ascii="黑体" w:hAnsi="黑体" w:eastAsia="黑体" w:cs="黑体"/>
          <w:sz w:val="28"/>
          <w:szCs w:val="28"/>
        </w:rPr>
      </w:pPr>
      <w:bookmarkStart w:id="52" w:name="_Toc31836"/>
      <w:r>
        <w:rPr>
          <w:rFonts w:hint="eastAsia" w:ascii="黑体" w:hAnsi="黑体" w:eastAsia="黑体" w:cs="黑体"/>
          <w:sz w:val="28"/>
          <w:szCs w:val="28"/>
        </w:rPr>
        <w:t>附件3</w:t>
      </w:r>
      <w:bookmarkEnd w:id="52"/>
    </w:p>
    <w:p>
      <w:pPr>
        <w:keepNext w:val="0"/>
        <w:keepLines w:val="0"/>
        <w:pageBreakBefore w:val="0"/>
        <w:wordWrap/>
        <w:overflowPunct/>
        <w:topLinePunct w:val="0"/>
        <w:bidi w:val="0"/>
        <w:adjustRightInd w:val="0"/>
        <w:snapToGrid w:val="0"/>
        <w:spacing w:line="360" w:lineRule="auto"/>
        <w:jc w:val="center"/>
        <w:outlineLvl w:val="0"/>
        <w:rPr>
          <w:rFonts w:ascii="黑体" w:hAnsi="黑体" w:eastAsia="黑体" w:cs="黑体"/>
          <w:sz w:val="28"/>
          <w:szCs w:val="28"/>
        </w:rPr>
      </w:pPr>
      <w:bookmarkStart w:id="53" w:name="_Toc15694"/>
      <w:r>
        <w:rPr>
          <w:rFonts w:hint="eastAsia" w:ascii="黑体" w:hAnsi="黑体" w:eastAsia="黑体" w:cs="黑体"/>
          <w:sz w:val="28"/>
          <w:szCs w:val="28"/>
        </w:rPr>
        <w:t>表1  砌筑项目赛场统一提供设备材料清单表</w:t>
      </w:r>
      <w:bookmarkEnd w:id="53"/>
    </w:p>
    <w:tbl>
      <w:tblPr>
        <w:tblStyle w:val="11"/>
        <w:tblW w:w="864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57" w:type="dxa"/>
          <w:left w:w="142" w:type="dxa"/>
          <w:bottom w:w="57" w:type="dxa"/>
          <w:right w:w="142" w:type="dxa"/>
        </w:tblCellMar>
      </w:tblPr>
      <w:tblGrid>
        <w:gridCol w:w="789"/>
        <w:gridCol w:w="1603"/>
        <w:gridCol w:w="1319"/>
        <w:gridCol w:w="1176"/>
        <w:gridCol w:w="2277"/>
        <w:gridCol w:w="147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tblHeader/>
          <w:jc w:val="center"/>
        </w:trPr>
        <w:tc>
          <w:tcPr>
            <w:tcW w:w="789"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黑体" w:hAnsi="黑体" w:eastAsia="黑体" w:cs="黑体"/>
                <w:bCs/>
                <w:caps/>
                <w:color w:val="auto"/>
                <w:sz w:val="24"/>
              </w:rPr>
            </w:pPr>
            <w:r>
              <w:rPr>
                <w:rFonts w:hint="eastAsia" w:ascii="黑体" w:hAnsi="黑体" w:eastAsia="黑体" w:cs="黑体"/>
                <w:bCs/>
                <w:caps/>
                <w:color w:val="auto"/>
                <w:sz w:val="24"/>
                <w:lang w:val="en-US"/>
              </w:rPr>
              <w:t>序号</w:t>
            </w:r>
          </w:p>
        </w:tc>
        <w:tc>
          <w:tcPr>
            <w:tcW w:w="1603"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黑体" w:hAnsi="黑体" w:eastAsia="黑体" w:cs="黑体"/>
                <w:bCs/>
                <w:caps/>
                <w:color w:val="auto"/>
                <w:sz w:val="24"/>
              </w:rPr>
            </w:pPr>
            <w:r>
              <w:rPr>
                <w:rFonts w:hint="eastAsia" w:ascii="黑体" w:hAnsi="黑体" w:eastAsia="黑体" w:cs="黑体"/>
                <w:bCs/>
                <w:caps/>
                <w:color w:val="auto"/>
                <w:sz w:val="24"/>
                <w:lang w:val="en-US"/>
              </w:rPr>
              <w:t>名称</w:t>
            </w:r>
          </w:p>
        </w:tc>
        <w:tc>
          <w:tcPr>
            <w:tcW w:w="1319"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黑体" w:hAnsi="黑体" w:eastAsia="黑体" w:cs="黑体"/>
                <w:bCs/>
                <w:caps/>
                <w:color w:val="auto"/>
                <w:sz w:val="24"/>
                <w:lang w:val="en-US" w:eastAsia="zh-CN"/>
              </w:rPr>
            </w:pPr>
            <w:r>
              <w:rPr>
                <w:rFonts w:hint="eastAsia" w:ascii="黑体" w:hAnsi="黑体" w:eastAsia="黑体" w:cs="黑体"/>
                <w:bCs/>
                <w:caps/>
                <w:color w:val="auto"/>
                <w:sz w:val="24"/>
                <w:lang w:eastAsia="zh-CN"/>
              </w:rPr>
              <w:t>数量</w:t>
            </w:r>
          </w:p>
        </w:tc>
        <w:tc>
          <w:tcPr>
            <w:tcW w:w="1176"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黑体" w:hAnsi="黑体" w:eastAsia="黑体" w:cs="黑体"/>
                <w:bCs/>
                <w:caps/>
                <w:color w:val="auto"/>
                <w:sz w:val="24"/>
                <w:lang w:val="en-US" w:eastAsia="zh-CN"/>
              </w:rPr>
            </w:pPr>
            <w:r>
              <w:rPr>
                <w:rFonts w:hint="eastAsia" w:ascii="黑体" w:hAnsi="黑体" w:eastAsia="黑体" w:cs="黑体"/>
                <w:bCs/>
                <w:caps/>
                <w:color w:val="auto"/>
                <w:sz w:val="24"/>
                <w:lang w:val="en-US" w:eastAsia="zh-CN"/>
              </w:rPr>
              <w:t>单位</w:t>
            </w:r>
          </w:p>
        </w:tc>
        <w:tc>
          <w:tcPr>
            <w:tcW w:w="2277"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黑体" w:hAnsi="黑体" w:eastAsia="黑体" w:cs="黑体"/>
                <w:bCs/>
                <w:caps/>
                <w:color w:val="auto"/>
                <w:sz w:val="24"/>
                <w:lang w:eastAsia="zh-CN"/>
              </w:rPr>
            </w:pPr>
            <w:r>
              <w:rPr>
                <w:rFonts w:hint="eastAsia" w:ascii="黑体" w:hAnsi="黑体" w:eastAsia="黑体" w:cs="黑体"/>
                <w:bCs/>
                <w:caps/>
                <w:color w:val="auto"/>
                <w:sz w:val="24"/>
                <w:lang w:eastAsia="zh-CN"/>
              </w:rPr>
              <w:t>技术规格</w:t>
            </w:r>
          </w:p>
        </w:tc>
        <w:tc>
          <w:tcPr>
            <w:tcW w:w="1477"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黑体" w:hAnsi="黑体" w:eastAsia="黑体" w:cs="黑体"/>
                <w:bCs/>
                <w:caps/>
                <w:color w:val="auto"/>
                <w:sz w:val="24"/>
                <w:lang w:eastAsia="zh-CN"/>
              </w:rPr>
            </w:pPr>
            <w:r>
              <w:rPr>
                <w:rFonts w:hint="eastAsia" w:ascii="黑体" w:hAnsi="黑体" w:eastAsia="黑体" w:cs="黑体"/>
                <w:bCs/>
                <w:caps/>
                <w:color w:val="auto"/>
                <w:sz w:val="24"/>
                <w:lang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lang w:eastAsia="zh-TW"/>
              </w:rPr>
            </w:pPr>
            <w:r>
              <w:rPr>
                <w:rFonts w:hint="eastAsia" w:ascii="仿宋" w:hAnsi="仿宋" w:eastAsia="仿宋" w:cs="仿宋"/>
                <w:sz w:val="22"/>
                <w:szCs w:val="22"/>
                <w:lang w:eastAsia="zh-TW"/>
              </w:rPr>
              <w:t>1</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lang w:eastAsia="zh-TW"/>
              </w:rPr>
            </w:pPr>
            <w:r>
              <w:rPr>
                <w:rFonts w:hint="eastAsia" w:ascii="仿宋" w:hAnsi="仿宋" w:eastAsia="仿宋" w:cs="仿宋"/>
                <w:sz w:val="22"/>
                <w:szCs w:val="22"/>
              </w:rPr>
              <w:t>石材</w:t>
            </w:r>
            <w:r>
              <w:rPr>
                <w:rFonts w:hint="eastAsia" w:ascii="仿宋" w:hAnsi="仿宋" w:eastAsia="仿宋" w:cs="仿宋"/>
                <w:sz w:val="22"/>
                <w:szCs w:val="22"/>
                <w:lang w:eastAsia="zh-TW"/>
              </w:rPr>
              <w:t>切割机</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color w:val="FF0000"/>
                <w:sz w:val="22"/>
                <w:szCs w:val="22"/>
              </w:rPr>
              <w:t>暂定8</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台</w:t>
            </w:r>
          </w:p>
        </w:tc>
        <w:tc>
          <w:tcPr>
            <w:tcW w:w="2277"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 xml:space="preserve">osc-a400 </w:t>
            </w:r>
          </w:p>
          <w:p>
            <w:pPr>
              <w:pStyle w:val="17"/>
              <w:keepNext w:val="0"/>
              <w:keepLines w:val="0"/>
              <w:pageBreakBefore w:val="0"/>
              <w:wordWrap/>
              <w:overflowPunct/>
              <w:topLinePunct w:val="0"/>
              <w:bidi w:val="0"/>
              <w:snapToGrid w:val="0"/>
              <w:spacing w:line="360" w:lineRule="auto"/>
              <w:jc w:val="center"/>
              <w:rPr>
                <w:rFonts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锯片直径400mm</w:t>
            </w:r>
          </w:p>
        </w:tc>
        <w:tc>
          <w:tcPr>
            <w:tcW w:w="1477" w:type="dxa"/>
            <w:tcBorders>
              <w:tl2br w:val="nil"/>
              <w:tr2bl w:val="nil"/>
            </w:tcBorders>
            <w:vAlign w:val="center"/>
          </w:tcPr>
          <w:p>
            <w:pPr>
              <w:pStyle w:val="17"/>
              <w:keepNext w:val="0"/>
              <w:keepLines w:val="0"/>
              <w:pageBreakBefore w:val="0"/>
              <w:wordWrap/>
              <w:overflowPunct/>
              <w:topLinePunct w:val="0"/>
              <w:bidi w:val="0"/>
              <w:snapToGrid w:val="0"/>
              <w:spacing w:line="360" w:lineRule="auto"/>
              <w:jc w:val="center"/>
              <w:rPr>
                <w:rFonts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必须配备</w:t>
            </w:r>
          </w:p>
          <w:p>
            <w:pPr>
              <w:pStyle w:val="17"/>
              <w:keepNext w:val="0"/>
              <w:keepLines w:val="0"/>
              <w:pageBreakBefore w:val="0"/>
              <w:wordWrap/>
              <w:overflowPunct/>
              <w:topLinePunct w:val="0"/>
              <w:bidi w:val="0"/>
              <w:snapToGrid w:val="0"/>
              <w:spacing w:line="360" w:lineRule="auto"/>
              <w:jc w:val="center"/>
              <w:rPr>
                <w:rFonts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防尘装置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lang w:val="en-GB"/>
              </w:rPr>
            </w:pPr>
            <w:r>
              <w:rPr>
                <w:rFonts w:hint="eastAsia" w:ascii="仿宋" w:hAnsi="仿宋" w:eastAsia="仿宋" w:cs="仿宋"/>
                <w:sz w:val="22"/>
                <w:szCs w:val="22"/>
              </w:rPr>
              <w:t>2</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水桶</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每工位1</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个</w:t>
            </w:r>
          </w:p>
        </w:tc>
        <w:tc>
          <w:tcPr>
            <w:tcW w:w="22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≥16L</w:t>
            </w:r>
          </w:p>
        </w:tc>
        <w:tc>
          <w:tcPr>
            <w:tcW w:w="14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lang w:val="en-GB"/>
              </w:rPr>
            </w:pPr>
            <w:r>
              <w:rPr>
                <w:rFonts w:hint="eastAsia" w:ascii="仿宋" w:hAnsi="仿宋" w:eastAsia="仿宋" w:cs="仿宋"/>
                <w:sz w:val="22"/>
                <w:szCs w:val="22"/>
              </w:rPr>
              <w:t>3</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标准砖</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若干</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块</w:t>
            </w:r>
          </w:p>
        </w:tc>
        <w:tc>
          <w:tcPr>
            <w:tcW w:w="22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240*115*50mm</w:t>
            </w:r>
          </w:p>
        </w:tc>
        <w:tc>
          <w:tcPr>
            <w:tcW w:w="14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4</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砂浆</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若干</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袋</w:t>
            </w:r>
          </w:p>
        </w:tc>
        <w:tc>
          <w:tcPr>
            <w:tcW w:w="22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M5</w:t>
            </w:r>
          </w:p>
        </w:tc>
        <w:tc>
          <w:tcPr>
            <w:tcW w:w="14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水泥砂浆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5</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垃圾桶</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每工位1</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个</w:t>
            </w:r>
          </w:p>
        </w:tc>
        <w:tc>
          <w:tcPr>
            <w:tcW w:w="22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≥120L</w:t>
            </w:r>
          </w:p>
        </w:tc>
        <w:tc>
          <w:tcPr>
            <w:tcW w:w="14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6</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放样纸</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20</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张</w:t>
            </w:r>
          </w:p>
        </w:tc>
        <w:tc>
          <w:tcPr>
            <w:tcW w:w="22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0号图幅</w:t>
            </w:r>
          </w:p>
        </w:tc>
        <w:tc>
          <w:tcPr>
            <w:tcW w:w="14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7</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灰盆</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每工位2</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个</w:t>
            </w:r>
          </w:p>
        </w:tc>
        <w:tc>
          <w:tcPr>
            <w:tcW w:w="22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c>
          <w:tcPr>
            <w:tcW w:w="14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83" w:hRule="atLeast"/>
          <w:jc w:val="center"/>
        </w:trPr>
        <w:tc>
          <w:tcPr>
            <w:tcW w:w="78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8</w:t>
            </w:r>
          </w:p>
        </w:tc>
        <w:tc>
          <w:tcPr>
            <w:tcW w:w="1603"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清扫工具</w:t>
            </w:r>
          </w:p>
        </w:tc>
        <w:tc>
          <w:tcPr>
            <w:tcW w:w="1319"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每工位1</w:t>
            </w:r>
          </w:p>
        </w:tc>
        <w:tc>
          <w:tcPr>
            <w:tcW w:w="1176"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套</w:t>
            </w:r>
          </w:p>
        </w:tc>
        <w:tc>
          <w:tcPr>
            <w:tcW w:w="22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c>
          <w:tcPr>
            <w:tcW w:w="1477" w:type="dxa"/>
            <w:tcBorders>
              <w:tl2br w:val="nil"/>
              <w:tr2bl w:val="nil"/>
            </w:tcBorders>
            <w:vAlign w:val="center"/>
          </w:tcPr>
          <w:p>
            <w:pPr>
              <w:keepNext w:val="0"/>
              <w:keepLines w:val="0"/>
              <w:pageBreakBefore w:val="0"/>
              <w:wordWrap/>
              <w:overflowPunct/>
              <w:topLinePunct w:val="0"/>
              <w:bidi w:val="0"/>
              <w:snapToGrid w:val="0"/>
              <w:spacing w:line="360" w:lineRule="auto"/>
              <w:jc w:val="center"/>
              <w:rPr>
                <w:rFonts w:ascii="仿宋" w:hAnsi="仿宋" w:eastAsia="仿宋" w:cs="仿宋"/>
                <w:sz w:val="22"/>
                <w:szCs w:val="22"/>
              </w:rPr>
            </w:pPr>
          </w:p>
        </w:tc>
      </w:tr>
    </w:tbl>
    <w:p>
      <w:pPr>
        <w:keepNext w:val="0"/>
        <w:keepLines w:val="0"/>
        <w:pageBreakBefore w:val="0"/>
        <w:wordWrap/>
        <w:overflowPunct/>
        <w:topLinePunct w:val="0"/>
        <w:bidi w:val="0"/>
        <w:adjustRightInd w:val="0"/>
        <w:snapToGrid w:val="0"/>
        <w:spacing w:line="360" w:lineRule="auto"/>
        <w:jc w:val="center"/>
        <w:outlineLvl w:val="0"/>
        <w:rPr>
          <w:rFonts w:ascii="黑体" w:hAnsi="黑体" w:eastAsia="黑体" w:cs="黑体"/>
          <w:sz w:val="28"/>
          <w:szCs w:val="28"/>
        </w:rPr>
      </w:pPr>
      <w:bookmarkStart w:id="54" w:name="_Toc31798"/>
      <w:r>
        <w:rPr>
          <w:rFonts w:hint="eastAsia" w:ascii="黑体" w:hAnsi="黑体" w:eastAsia="黑体" w:cs="黑体"/>
          <w:sz w:val="28"/>
          <w:szCs w:val="28"/>
        </w:rPr>
        <w:t>表2  砌筑项目选手自带工具、材料清单表</w:t>
      </w:r>
      <w:bookmarkEnd w:id="54"/>
    </w:p>
    <w:tbl>
      <w:tblPr>
        <w:tblStyle w:val="11"/>
        <w:tblW w:w="8644"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57" w:type="dxa"/>
          <w:left w:w="142" w:type="dxa"/>
          <w:bottom w:w="57" w:type="dxa"/>
          <w:right w:w="142" w:type="dxa"/>
        </w:tblCellMar>
      </w:tblPr>
      <w:tblGrid>
        <w:gridCol w:w="993"/>
        <w:gridCol w:w="2600"/>
        <w:gridCol w:w="1903"/>
        <w:gridCol w:w="314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blHeader/>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黑体" w:hAnsi="黑体" w:eastAsia="黑体" w:cs="黑体"/>
                <w:bCs/>
                <w:sz w:val="24"/>
              </w:rPr>
            </w:pPr>
            <w:r>
              <w:rPr>
                <w:rFonts w:hint="eastAsia" w:ascii="黑体" w:hAnsi="黑体" w:eastAsia="黑体" w:cs="黑体"/>
                <w:bCs/>
                <w:sz w:val="24"/>
              </w:rPr>
              <w:t>序号</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黑体" w:hAnsi="黑体" w:eastAsia="黑体" w:cs="黑体"/>
                <w:bCs/>
                <w:sz w:val="24"/>
              </w:rPr>
            </w:pPr>
            <w:r>
              <w:rPr>
                <w:rFonts w:hint="eastAsia" w:ascii="黑体" w:hAnsi="黑体" w:eastAsia="黑体" w:cs="黑体"/>
                <w:bCs/>
                <w:sz w:val="24"/>
              </w:rPr>
              <w:t>名称</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黑体" w:hAnsi="黑体" w:eastAsia="黑体" w:cs="黑体"/>
                <w:bCs/>
                <w:sz w:val="24"/>
              </w:rPr>
            </w:pPr>
            <w:r>
              <w:rPr>
                <w:rFonts w:hint="eastAsia" w:ascii="黑体" w:hAnsi="黑体" w:eastAsia="黑体" w:cs="黑体"/>
                <w:bCs/>
                <w:sz w:val="24"/>
              </w:rPr>
              <w:t>数量</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黑体" w:hAnsi="黑体" w:eastAsia="黑体" w:cs="黑体"/>
                <w:bCs/>
                <w:sz w:val="24"/>
              </w:rPr>
            </w:pPr>
            <w:r>
              <w:rPr>
                <w:rFonts w:hint="eastAsia" w:ascii="黑体" w:hAnsi="黑体" w:eastAsia="黑体" w:cs="黑体"/>
                <w:bCs/>
                <w:sz w:val="24"/>
              </w:rPr>
              <w:t>技术规格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瓦刀、灰铲</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2</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水平尺</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3</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皮数杆</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4</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靠尺</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5</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勾缝刀</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6</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卷尺</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7</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直尺</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8</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方尺</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9</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线</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10</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计算器</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11</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圆规</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12</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记号笔</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13</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角度尺</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14</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投线仪</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15</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劳保与防护设备</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选手自行决定</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0"/>
                <w:szCs w:val="20"/>
              </w:rPr>
              <w:t>防护镜、防护耳罩、口罩、手套、安全鞋等</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57" w:type="dxa"/>
            <w:left w:w="142" w:type="dxa"/>
            <w:bottom w:w="57" w:type="dxa"/>
            <w:right w:w="142" w:type="dxa"/>
          </w:tblCellMar>
        </w:tblPrEx>
        <w:trPr>
          <w:trHeight w:val="227" w:hRule="atLeast"/>
        </w:trPr>
        <w:tc>
          <w:tcPr>
            <w:tcW w:w="99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2"/>
                <w:szCs w:val="22"/>
              </w:rPr>
            </w:pPr>
            <w:r>
              <w:rPr>
                <w:rFonts w:hint="eastAsia" w:ascii="仿宋" w:hAnsi="仿宋" w:eastAsia="仿宋" w:cs="仿宋"/>
                <w:sz w:val="22"/>
                <w:szCs w:val="22"/>
              </w:rPr>
              <w:t>16</w:t>
            </w:r>
          </w:p>
        </w:tc>
        <w:tc>
          <w:tcPr>
            <w:tcW w:w="2600"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b/>
                <w:bCs/>
                <w:sz w:val="22"/>
                <w:szCs w:val="22"/>
              </w:rPr>
            </w:pPr>
            <w:r>
              <w:rPr>
                <w:rFonts w:hint="eastAsia" w:ascii="仿宋" w:hAnsi="仿宋" w:eastAsia="仿宋" w:cs="仿宋"/>
                <w:b/>
                <w:bCs/>
                <w:sz w:val="22"/>
                <w:szCs w:val="22"/>
              </w:rPr>
              <w:t>平板小推车</w:t>
            </w:r>
          </w:p>
        </w:tc>
        <w:tc>
          <w:tcPr>
            <w:tcW w:w="1903"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b/>
                <w:bCs/>
                <w:sz w:val="22"/>
                <w:szCs w:val="22"/>
              </w:rPr>
            </w:pPr>
            <w:r>
              <w:rPr>
                <w:rFonts w:hint="eastAsia" w:ascii="仿宋" w:hAnsi="仿宋" w:eastAsia="仿宋" w:cs="仿宋"/>
                <w:b/>
                <w:bCs/>
                <w:sz w:val="22"/>
                <w:szCs w:val="22"/>
              </w:rPr>
              <w:t>必带</w:t>
            </w:r>
          </w:p>
        </w:tc>
        <w:tc>
          <w:tcPr>
            <w:tcW w:w="3148" w:type="dxa"/>
            <w:tcBorders>
              <w:tl2br w:val="nil"/>
              <w:tr2bl w:val="nil"/>
            </w:tcBorders>
            <w:vAlign w:val="center"/>
          </w:tcPr>
          <w:p>
            <w:pPr>
              <w:keepNext w:val="0"/>
              <w:keepLines w:val="0"/>
              <w:pageBreakBefore w:val="0"/>
              <w:wordWrap/>
              <w:overflowPunct/>
              <w:topLinePunct w:val="0"/>
              <w:bidi w:val="0"/>
              <w:adjustRightInd w:val="0"/>
              <w:snapToGrid w:val="0"/>
              <w:spacing w:line="360" w:lineRule="auto"/>
              <w:jc w:val="center"/>
              <w:rPr>
                <w:rFonts w:ascii="仿宋" w:hAnsi="仿宋" w:eastAsia="仿宋" w:cs="仿宋"/>
                <w:sz w:val="20"/>
                <w:szCs w:val="20"/>
              </w:rPr>
            </w:pPr>
          </w:p>
        </w:tc>
      </w:tr>
    </w:tbl>
    <w:p>
      <w:pPr>
        <w:keepNext w:val="0"/>
        <w:keepLines w:val="0"/>
        <w:pageBreakBefore w:val="0"/>
        <w:wordWrap/>
        <w:overflowPunct/>
        <w:topLinePunct w:val="0"/>
        <w:bidi w:val="0"/>
        <w:spacing w:line="360" w:lineRule="auto"/>
        <w:jc w:val="left"/>
        <w:rPr>
          <w:rFonts w:ascii="黑体" w:hAnsi="黑体" w:eastAsia="黑体"/>
          <w:b/>
          <w:sz w:val="28"/>
          <w:szCs w:val="28"/>
        </w:rPr>
      </w:pPr>
      <w:r>
        <w:rPr>
          <w:rFonts w:hint="eastAsia" w:ascii="仿宋" w:hAnsi="仿宋" w:eastAsia="仿宋" w:cs="仿宋"/>
          <w:bCs/>
          <w:sz w:val="22"/>
          <w:szCs w:val="22"/>
        </w:rPr>
        <w:t>注：所有带入场地的材料、工具均须报备裁判长同意后才能带入赛场使用</w:t>
      </w:r>
      <w:r>
        <w:rPr>
          <w:rFonts w:hint="eastAsia" w:ascii="黑体" w:hAnsi="黑体" w:eastAsia="黑体"/>
          <w:b/>
          <w:szCs w:val="21"/>
        </w:rPr>
        <w:t>。</w:t>
      </w:r>
    </w:p>
    <w:p>
      <w:pPr>
        <w:keepNext w:val="0"/>
        <w:keepLines w:val="0"/>
        <w:pageBreakBefore w:val="0"/>
        <w:wordWrap/>
        <w:overflowPunct/>
        <w:topLinePunct w:val="0"/>
        <w:bidi w:val="0"/>
        <w:adjustRightInd w:val="0"/>
        <w:snapToGrid w:val="0"/>
        <w:spacing w:line="360" w:lineRule="auto"/>
        <w:jc w:val="center"/>
        <w:outlineLvl w:val="0"/>
        <w:rPr>
          <w:rFonts w:ascii="黑体" w:hAnsi="黑体" w:eastAsia="黑体" w:cs="黑体"/>
          <w:sz w:val="28"/>
          <w:szCs w:val="28"/>
        </w:rPr>
      </w:pPr>
      <w:bookmarkStart w:id="55" w:name="_Toc29559"/>
      <w:r>
        <w:rPr>
          <w:rFonts w:hint="eastAsia" w:ascii="黑体" w:hAnsi="黑体" w:eastAsia="黑体" w:cs="黑体"/>
          <w:sz w:val="28"/>
          <w:szCs w:val="28"/>
        </w:rPr>
        <w:t>表3  禁止自带使用的设备材料</w:t>
      </w:r>
      <w:bookmarkEnd w:id="55"/>
    </w:p>
    <w:tbl>
      <w:tblPr>
        <w:tblStyle w:val="12"/>
        <w:tblW w:w="851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76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黑体" w:hAnsi="黑体" w:eastAsia="黑体" w:cs="黑体"/>
                <w:bCs/>
                <w:sz w:val="24"/>
              </w:rPr>
            </w:pPr>
            <w:r>
              <w:rPr>
                <w:rFonts w:hint="eastAsia" w:ascii="黑体" w:hAnsi="黑体" w:eastAsia="黑体" w:cs="黑体"/>
                <w:bCs/>
                <w:sz w:val="24"/>
              </w:rPr>
              <w:t>序号</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黑体" w:hAnsi="黑体" w:eastAsia="黑体" w:cs="黑体"/>
                <w:bCs/>
                <w:sz w:val="24"/>
              </w:rPr>
            </w:pPr>
            <w:r>
              <w:rPr>
                <w:rFonts w:hint="eastAsia" w:ascii="黑体" w:hAnsi="黑体" w:eastAsia="黑体" w:cs="黑体"/>
                <w:bCs/>
                <w:sz w:val="24"/>
              </w:rPr>
              <w:t>设备和材料名称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1</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为竞赛专用的模板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2</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手提切割机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3</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激光切割机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4</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自动数控切割机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5</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喷水机（水刀）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6</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吸尘器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7</w:t>
            </w:r>
          </w:p>
        </w:tc>
        <w:tc>
          <w:tcPr>
            <w:tcW w:w="7615" w:type="dxa"/>
            <w:tcBorders>
              <w:tl2br w:val="nil"/>
              <w:tr2bl w:val="nil"/>
            </w:tcBorders>
          </w:tcPr>
          <w:p>
            <w:pPr>
              <w:keepNext w:val="0"/>
              <w:keepLines w:val="0"/>
              <w:pageBreakBefore w:val="0"/>
              <w:wordWrap/>
              <w:overflowPunct/>
              <w:topLinePunct w:val="0"/>
              <w:bidi w:val="0"/>
              <w:spacing w:line="360" w:lineRule="auto"/>
              <w:jc w:val="center"/>
              <w:rPr>
                <w:rFonts w:ascii="仿宋" w:hAnsi="仿宋" w:eastAsia="仿宋" w:cs="仿宋"/>
                <w:bCs/>
                <w:sz w:val="22"/>
                <w:szCs w:val="22"/>
              </w:rPr>
            </w:pPr>
            <w:r>
              <w:rPr>
                <w:rFonts w:hint="eastAsia" w:ascii="仿宋" w:hAnsi="仿宋" w:eastAsia="仿宋" w:cs="仿宋"/>
                <w:bCs/>
                <w:sz w:val="22"/>
                <w:szCs w:val="22"/>
              </w:rPr>
              <w:t>电子通讯和储存设备</w:t>
            </w:r>
          </w:p>
        </w:tc>
      </w:tr>
    </w:tbl>
    <w:p>
      <w:pPr>
        <w:keepNext w:val="0"/>
        <w:keepLines w:val="0"/>
        <w:pageBreakBefore w:val="0"/>
        <w:wordWrap/>
        <w:overflowPunct/>
        <w:topLinePunct w:val="0"/>
        <w:bidi w:val="0"/>
        <w:spacing w:line="360" w:lineRule="auto"/>
        <w:ind w:firstLine="440" w:firstLineChars="200"/>
        <w:jc w:val="left"/>
        <w:rPr>
          <w:rFonts w:ascii="黑体" w:hAnsi="黑体" w:eastAsia="黑体"/>
          <w:b/>
          <w:szCs w:val="21"/>
        </w:rPr>
      </w:pPr>
      <w:r>
        <w:rPr>
          <w:rFonts w:hint="eastAsia" w:ascii="仿宋" w:hAnsi="仿宋" w:eastAsia="仿宋" w:cs="仿宋"/>
          <w:bCs/>
          <w:sz w:val="22"/>
          <w:szCs w:val="22"/>
        </w:rPr>
        <w:t>注：禁止自带使用的设备材料包括但不限于上表内容</w:t>
      </w:r>
      <w:r>
        <w:rPr>
          <w:rFonts w:hint="eastAsia" w:ascii="黑体" w:hAnsi="黑体" w:eastAsia="黑体"/>
          <w:b/>
          <w:szCs w:val="21"/>
        </w:rPr>
        <w:t>。</w:t>
      </w:r>
    </w:p>
    <w:p>
      <w:pPr>
        <w:keepNext w:val="0"/>
        <w:keepLines w:val="0"/>
        <w:pageBreakBefore w:val="0"/>
        <w:wordWrap/>
        <w:overflowPunct/>
        <w:topLinePunct w:val="0"/>
        <w:bidi w:val="0"/>
        <w:spacing w:line="360" w:lineRule="auto"/>
      </w:pPr>
      <w:r>
        <w:br w:type="page"/>
      </w:r>
    </w:p>
    <w:p>
      <w:pPr>
        <w:keepNext w:val="0"/>
        <w:keepLines w:val="0"/>
        <w:pageBreakBefore w:val="0"/>
        <w:wordWrap/>
        <w:overflowPunct/>
        <w:topLinePunct w:val="0"/>
        <w:bidi w:val="0"/>
        <w:adjustRightInd w:val="0"/>
        <w:snapToGrid w:val="0"/>
        <w:spacing w:line="360" w:lineRule="auto"/>
        <w:rPr>
          <w:rFonts w:ascii="黑体" w:hAnsi="黑体" w:eastAsia="黑体" w:cs="黑体"/>
          <w:sz w:val="28"/>
          <w:szCs w:val="28"/>
        </w:rPr>
      </w:pPr>
      <w:r>
        <w:rPr>
          <w:rFonts w:hint="eastAsia" w:ascii="黑体" w:hAnsi="黑体" w:eastAsia="黑体" w:cs="黑体"/>
          <w:sz w:val="28"/>
          <w:szCs w:val="28"/>
        </w:rPr>
        <w:t>附件4：</w:t>
      </w:r>
    </w:p>
    <w:p>
      <w:pPr>
        <w:keepNext w:val="0"/>
        <w:keepLines w:val="0"/>
        <w:pageBreakBefore w:val="0"/>
        <w:wordWrap/>
        <w:overflowPunct/>
        <w:topLinePunct w:val="0"/>
        <w:bidi w:val="0"/>
        <w:adjustRightInd w:val="0"/>
        <w:snapToGrid w:val="0"/>
        <w:spacing w:line="360" w:lineRule="auto"/>
        <w:jc w:val="center"/>
        <w:outlineLvl w:val="0"/>
        <w:rPr>
          <w:rFonts w:ascii="黑体" w:hAnsi="黑体" w:eastAsia="黑体"/>
          <w:b/>
          <w:sz w:val="28"/>
          <w:szCs w:val="28"/>
        </w:rPr>
      </w:pPr>
      <w:bookmarkStart w:id="56" w:name="_Toc1590"/>
      <w:r>
        <w:rPr>
          <w:rFonts w:hint="eastAsia" w:ascii="黑体" w:hAnsi="黑体" w:eastAsia="黑体"/>
          <w:b/>
          <w:sz w:val="28"/>
          <w:szCs w:val="28"/>
        </w:rPr>
        <w:t>许昌市第一届职业技能大赛</w:t>
      </w:r>
      <w:bookmarkEnd w:id="56"/>
      <w:bookmarkStart w:id="57" w:name="_Toc26405"/>
      <w:r>
        <w:rPr>
          <w:rFonts w:hint="eastAsia" w:ascii="黑体" w:hAnsi="黑体" w:eastAsia="黑体"/>
          <w:b/>
          <w:sz w:val="28"/>
          <w:szCs w:val="28"/>
        </w:rPr>
        <w:t>砌筑项目评分表（样表）</w:t>
      </w:r>
      <w:bookmarkEnd w:id="57"/>
    </w:p>
    <w:p>
      <w:pPr>
        <w:keepNext w:val="0"/>
        <w:keepLines w:val="0"/>
        <w:pageBreakBefore w:val="0"/>
        <w:wordWrap/>
        <w:overflowPunct/>
        <w:topLinePunct w:val="0"/>
        <w:bidi w:val="0"/>
        <w:spacing w:line="360" w:lineRule="auto"/>
        <w:rPr>
          <w:sz w:val="28"/>
          <w:szCs w:val="36"/>
        </w:rPr>
      </w:pPr>
      <w:r>
        <w:rPr>
          <w:rFonts w:hint="eastAsia" w:ascii="黑体" w:hAnsi="黑体" w:eastAsia="黑体"/>
          <w:b/>
          <w:sz w:val="24"/>
        </w:rPr>
        <w:t>工位号：</w:t>
      </w:r>
    </w:p>
    <w:tbl>
      <w:tblPr>
        <w:tblStyle w:val="15"/>
        <w:tblW w:w="923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2"/>
        <w:gridCol w:w="959"/>
        <w:gridCol w:w="821"/>
        <w:gridCol w:w="2346"/>
        <w:gridCol w:w="2464"/>
        <w:gridCol w:w="900"/>
        <w:gridCol w:w="9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Align w:val="center"/>
          </w:tcPr>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2"/>
                <w:position w:val="6"/>
                <w:sz w:val="20"/>
                <w:szCs w:val="20"/>
                <w:lang w:eastAsia="en-US"/>
              </w:rPr>
              <w:t>标准</w:t>
            </w:r>
          </w:p>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2"/>
                <w:sz w:val="20"/>
                <w:szCs w:val="20"/>
                <w:lang w:eastAsia="en-US"/>
              </w:rPr>
              <w:t>编号</w:t>
            </w:r>
          </w:p>
        </w:tc>
        <w:tc>
          <w:tcPr>
            <w:tcW w:w="1780" w:type="dxa"/>
            <w:gridSpan w:val="2"/>
            <w:vAlign w:val="center"/>
          </w:tcPr>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17"/>
                <w:sz w:val="20"/>
                <w:szCs w:val="20"/>
                <w:lang w:eastAsia="en-US"/>
              </w:rPr>
              <w:t>内</w:t>
            </w:r>
            <w:r>
              <w:rPr>
                <w:rFonts w:hint="eastAsia" w:ascii="黑体" w:hAnsi="黑体" w:eastAsia="黑体" w:cs="黑体"/>
                <w:spacing w:val="11"/>
                <w:sz w:val="20"/>
                <w:szCs w:val="20"/>
                <w:lang w:eastAsia="en-US"/>
              </w:rPr>
              <w:t xml:space="preserve"> </w:t>
            </w:r>
            <w:r>
              <w:rPr>
                <w:rFonts w:hint="eastAsia" w:ascii="黑体" w:hAnsi="黑体" w:eastAsia="黑体" w:cs="黑体"/>
                <w:spacing w:val="-17"/>
                <w:sz w:val="20"/>
                <w:szCs w:val="20"/>
                <w:lang w:eastAsia="en-US"/>
              </w:rPr>
              <w:t>容</w:t>
            </w:r>
          </w:p>
        </w:tc>
        <w:tc>
          <w:tcPr>
            <w:tcW w:w="2346" w:type="dxa"/>
            <w:vAlign w:val="center"/>
          </w:tcPr>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1"/>
                <w:sz w:val="20"/>
                <w:szCs w:val="20"/>
                <w:lang w:eastAsia="en-US"/>
              </w:rPr>
              <w:t>要求或公称尺寸</w:t>
            </w:r>
          </w:p>
        </w:tc>
        <w:tc>
          <w:tcPr>
            <w:tcW w:w="2464" w:type="dxa"/>
            <w:vAlign w:val="center"/>
          </w:tcPr>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1"/>
                <w:sz w:val="20"/>
                <w:szCs w:val="20"/>
                <w:lang w:eastAsia="en-US"/>
              </w:rPr>
              <w:t>评价标准</w:t>
            </w:r>
          </w:p>
        </w:tc>
        <w:tc>
          <w:tcPr>
            <w:tcW w:w="900" w:type="dxa"/>
            <w:vAlign w:val="center"/>
          </w:tcPr>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3"/>
                <w:position w:val="6"/>
                <w:sz w:val="20"/>
                <w:szCs w:val="20"/>
                <w:lang w:eastAsia="en-US"/>
              </w:rPr>
              <w:t>最大</w:t>
            </w:r>
          </w:p>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3"/>
                <w:sz w:val="20"/>
                <w:szCs w:val="20"/>
                <w:lang w:eastAsia="en-US"/>
              </w:rPr>
              <w:t>分值</w:t>
            </w:r>
          </w:p>
        </w:tc>
        <w:tc>
          <w:tcPr>
            <w:tcW w:w="959" w:type="dxa"/>
            <w:vAlign w:val="center"/>
          </w:tcPr>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3"/>
                <w:position w:val="6"/>
                <w:sz w:val="20"/>
                <w:szCs w:val="20"/>
                <w:lang w:eastAsia="en-US"/>
              </w:rPr>
              <w:t>实际</w:t>
            </w:r>
          </w:p>
          <w:p>
            <w:pPr>
              <w:keepNext w:val="0"/>
              <w:keepLines w:val="0"/>
              <w:pageBreakBefore w:val="0"/>
              <w:wordWrap/>
              <w:overflowPunct/>
              <w:topLinePunct w:val="0"/>
              <w:autoSpaceDE/>
              <w:autoSpaceDN/>
              <w:bidi w:val="0"/>
              <w:adjustRightInd w:val="0"/>
              <w:snapToGrid w:val="0"/>
              <w:spacing w:line="360" w:lineRule="auto"/>
              <w:jc w:val="center"/>
              <w:rPr>
                <w:rFonts w:ascii="黑体" w:hAnsi="黑体" w:eastAsia="黑体" w:cs="黑体"/>
                <w:sz w:val="20"/>
                <w:szCs w:val="20"/>
                <w:lang w:eastAsia="en-US"/>
              </w:rPr>
            </w:pPr>
            <w:r>
              <w:rPr>
                <w:rFonts w:hint="eastAsia" w:ascii="黑体" w:hAnsi="黑体" w:eastAsia="黑体" w:cs="黑体"/>
                <w:spacing w:val="-2"/>
                <w:sz w:val="20"/>
                <w:szCs w:val="20"/>
                <w:lang w:eastAsia="en-US"/>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A</w:t>
            </w:r>
          </w:p>
        </w:tc>
        <w:tc>
          <w:tcPr>
            <w:tcW w:w="959"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尺寸</w:t>
            </w: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1.1</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7"/>
                <w:sz w:val="20"/>
                <w:szCs w:val="20"/>
                <w:lang w:eastAsia="en-US"/>
              </w:rPr>
              <w:t>图示尺寸</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每</w:t>
            </w:r>
            <w:r>
              <w:rPr>
                <w:rFonts w:hint="eastAsia" w:ascii="仿宋_GB2312" w:hAnsi="仿宋_GB2312" w:eastAsia="仿宋_GB2312" w:cs="仿宋_GB2312"/>
                <w:spacing w:val="-29"/>
                <w:sz w:val="20"/>
                <w:szCs w:val="20"/>
                <w:lang w:eastAsia="en-US"/>
              </w:rPr>
              <w:t xml:space="preserve"> </w:t>
            </w:r>
            <w:r>
              <w:rPr>
                <w:rFonts w:hint="eastAsia" w:ascii="仿宋_GB2312" w:hAnsi="仿宋_GB2312" w:eastAsia="仿宋_GB2312" w:cs="仿宋_GB2312"/>
                <w:spacing w:val="-3"/>
                <w:sz w:val="20"/>
                <w:szCs w:val="20"/>
                <w:lang w:eastAsia="en-US"/>
              </w:rPr>
              <w:t>1mm</w:t>
            </w:r>
            <w:r>
              <w:rPr>
                <w:rFonts w:hint="eastAsia" w:ascii="仿宋_GB2312" w:hAnsi="仿宋_GB2312" w:eastAsia="仿宋_GB2312" w:cs="仿宋_GB2312"/>
                <w:spacing w:val="-44"/>
                <w:sz w:val="20"/>
                <w:szCs w:val="20"/>
                <w:lang w:eastAsia="en-US"/>
              </w:rPr>
              <w:t xml:space="preserve"> </w:t>
            </w:r>
            <w:r>
              <w:rPr>
                <w:rFonts w:hint="eastAsia" w:ascii="仿宋_GB2312" w:hAnsi="仿宋_GB2312" w:eastAsia="仿宋_GB2312" w:cs="仿宋_GB2312"/>
                <w:spacing w:val="-3"/>
                <w:sz w:val="20"/>
                <w:szCs w:val="20"/>
                <w:lang w:eastAsia="en-US"/>
              </w:rPr>
              <w:t>误差扣除</w:t>
            </w:r>
            <w:r>
              <w:rPr>
                <w:rFonts w:hint="eastAsia" w:ascii="仿宋_GB2312" w:hAnsi="仿宋_GB2312" w:eastAsia="仿宋_GB2312" w:cs="仿宋_GB2312"/>
                <w:spacing w:val="-50"/>
                <w:sz w:val="20"/>
                <w:szCs w:val="20"/>
                <w:lang w:eastAsia="en-US"/>
              </w:rPr>
              <w:t xml:space="preserve"> </w:t>
            </w:r>
            <w:r>
              <w:rPr>
                <w:rFonts w:hint="eastAsia" w:ascii="仿宋_GB2312" w:hAnsi="仿宋_GB2312" w:eastAsia="仿宋_GB2312" w:cs="仿宋_GB2312"/>
                <w:spacing w:val="-3"/>
                <w:sz w:val="20"/>
                <w:szCs w:val="20"/>
                <w:lang w:eastAsia="en-US"/>
              </w:rPr>
              <w:t>N 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1.2</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7"/>
                <w:sz w:val="20"/>
                <w:szCs w:val="20"/>
                <w:lang w:eastAsia="en-US"/>
              </w:rPr>
              <w:t>图示尺寸</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小计</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B</w:t>
            </w:r>
          </w:p>
        </w:tc>
        <w:tc>
          <w:tcPr>
            <w:tcW w:w="959"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水平</w:t>
            </w: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2.1</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0mm</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2.2</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0mm</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小计</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restart"/>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C</w:t>
            </w:r>
          </w:p>
        </w:tc>
        <w:tc>
          <w:tcPr>
            <w:tcW w:w="959" w:type="dxa"/>
            <w:vMerge w:val="restart"/>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垂直度</w:t>
            </w: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3.1</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0mm</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3.2</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0mm</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小计</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D</w:t>
            </w:r>
          </w:p>
        </w:tc>
        <w:tc>
          <w:tcPr>
            <w:tcW w:w="959" w:type="dxa"/>
            <w:vMerge w:val="restart"/>
            <w:tcBorders>
              <w:bottom w:val="nil"/>
            </w:tcBorders>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对齐</w:t>
            </w:r>
            <w:r>
              <w:rPr>
                <w:rFonts w:hint="eastAsia" w:ascii="仿宋_GB2312" w:hAnsi="仿宋_GB2312" w:eastAsia="仿宋_GB2312" w:cs="仿宋_GB2312"/>
                <w:sz w:val="20"/>
                <w:szCs w:val="20"/>
                <w:lang w:eastAsia="en-US"/>
              </w:rPr>
              <w:t xml:space="preserve">  </w:t>
            </w:r>
            <w:r>
              <w:rPr>
                <w:rFonts w:hint="eastAsia" w:ascii="仿宋_GB2312" w:hAnsi="仿宋_GB2312" w:eastAsia="仿宋_GB2312" w:cs="仿宋_GB2312"/>
                <w:spacing w:val="-8"/>
                <w:sz w:val="20"/>
                <w:szCs w:val="20"/>
                <w:lang w:eastAsia="en-US"/>
              </w:rPr>
              <w:t>（平整</w:t>
            </w:r>
            <w:r>
              <w:rPr>
                <w:rFonts w:hint="eastAsia" w:ascii="仿宋_GB2312" w:hAnsi="仿宋_GB2312" w:eastAsia="仿宋_GB2312" w:cs="仿宋_GB2312"/>
                <w:spacing w:val="1"/>
                <w:sz w:val="20"/>
                <w:szCs w:val="20"/>
                <w:lang w:eastAsia="en-US"/>
              </w:rPr>
              <w:t xml:space="preserve"> </w:t>
            </w:r>
            <w:r>
              <w:rPr>
                <w:rFonts w:hint="eastAsia" w:ascii="仿宋_GB2312" w:hAnsi="仿宋_GB2312" w:eastAsia="仿宋_GB2312" w:cs="仿宋_GB2312"/>
                <w:spacing w:val="39"/>
                <w:sz w:val="20"/>
                <w:szCs w:val="20"/>
                <w:lang w:eastAsia="en-US"/>
              </w:rPr>
              <w:t>度）</w:t>
            </w: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4.1</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0mm</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4.2</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0mm</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0mm</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小计</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E</w:t>
            </w:r>
          </w:p>
        </w:tc>
        <w:tc>
          <w:tcPr>
            <w:tcW w:w="959"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细部</w:t>
            </w: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5.1</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交底及标准范围值</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5.2</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交底及标准范围值</w:t>
            </w:r>
          </w:p>
        </w:tc>
        <w:tc>
          <w:tcPr>
            <w:tcW w:w="2464"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5"/>
                <w:sz w:val="20"/>
                <w:szCs w:val="20"/>
                <w:lang w:eastAsia="en-US"/>
              </w:rPr>
              <w:t>每</w:t>
            </w:r>
            <w:r>
              <w:rPr>
                <w:rFonts w:hint="eastAsia" w:ascii="仿宋_GB2312" w:hAnsi="仿宋_GB2312" w:eastAsia="仿宋_GB2312" w:cs="仿宋_GB2312"/>
                <w:spacing w:val="-21"/>
                <w:sz w:val="20"/>
                <w:szCs w:val="20"/>
                <w:lang w:eastAsia="en-US"/>
              </w:rPr>
              <w:t xml:space="preserve"> </w:t>
            </w:r>
            <w:r>
              <w:rPr>
                <w:rFonts w:hint="eastAsia" w:ascii="仿宋_GB2312" w:hAnsi="仿宋_GB2312" w:eastAsia="仿宋_GB2312" w:cs="仿宋_GB2312"/>
                <w:spacing w:val="-5"/>
                <w:sz w:val="20"/>
                <w:szCs w:val="20"/>
                <w:lang w:eastAsia="en-US"/>
              </w:rPr>
              <w:t>1mm</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5"/>
                <w:sz w:val="20"/>
                <w:szCs w:val="20"/>
                <w:lang w:eastAsia="en-US"/>
              </w:rPr>
              <w:t>误差扣除</w:t>
            </w:r>
            <w:r>
              <w:rPr>
                <w:rFonts w:hint="eastAsia" w:ascii="仿宋_GB2312" w:hAnsi="仿宋_GB2312" w:eastAsia="仿宋_GB2312" w:cs="仿宋_GB2312"/>
                <w:spacing w:val="-51"/>
                <w:sz w:val="20"/>
                <w:szCs w:val="20"/>
                <w:lang w:eastAsia="en-US"/>
              </w:rPr>
              <w:t xml:space="preserve"> </w:t>
            </w:r>
            <w:r>
              <w:rPr>
                <w:rFonts w:hint="eastAsia" w:ascii="仿宋_GB2312" w:hAnsi="仿宋_GB2312" w:eastAsia="仿宋_GB2312" w:cs="仿宋_GB2312"/>
                <w:spacing w:val="-5"/>
                <w:sz w:val="20"/>
                <w:szCs w:val="20"/>
                <w:lang w:eastAsia="en-US"/>
              </w:rPr>
              <w:t>N</w:t>
            </w:r>
            <w:r>
              <w:rPr>
                <w:rFonts w:hint="eastAsia" w:ascii="仿宋_GB2312" w:hAnsi="仿宋_GB2312" w:eastAsia="仿宋_GB2312" w:cs="仿宋_GB2312"/>
                <w:spacing w:val="-42"/>
                <w:sz w:val="20"/>
                <w:szCs w:val="20"/>
                <w:lang w:eastAsia="en-US"/>
              </w:rPr>
              <w:t xml:space="preserve"> </w:t>
            </w:r>
            <w:r>
              <w:rPr>
                <w:rFonts w:hint="eastAsia" w:ascii="仿宋_GB2312" w:hAnsi="仿宋_GB2312" w:eastAsia="仿宋_GB2312" w:cs="仿宋_GB2312"/>
                <w:spacing w:val="-5"/>
                <w:sz w:val="20"/>
                <w:szCs w:val="20"/>
                <w:lang w:eastAsia="en-US"/>
              </w:rPr>
              <w:t>分</w:t>
            </w: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小计</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z w:val="20"/>
                <w:szCs w:val="20"/>
                <w:lang w:eastAsia="en-US"/>
              </w:rPr>
              <w:t>F</w:t>
            </w:r>
          </w:p>
        </w:tc>
        <w:tc>
          <w:tcPr>
            <w:tcW w:w="959" w:type="dxa"/>
            <w:vMerge w:val="restart"/>
            <w:tcBorders>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连接及</w:t>
            </w: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成品</w:t>
            </w:r>
          </w:p>
        </w:tc>
        <w:tc>
          <w:tcPr>
            <w:tcW w:w="821"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6.1</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1"/>
                <w:sz w:val="20"/>
                <w:szCs w:val="20"/>
                <w:lang w:eastAsia="en-US"/>
              </w:rPr>
              <w:t>凹缝（Y）缝：</w:t>
            </w:r>
            <w:r>
              <w:rPr>
                <w:rFonts w:hint="eastAsia" w:ascii="仿宋_GB2312" w:hAnsi="仿宋_GB2312" w:eastAsia="仿宋_GB2312" w:cs="仿宋_GB2312"/>
                <w:spacing w:val="-15"/>
                <w:sz w:val="20"/>
                <w:szCs w:val="20"/>
                <w:lang w:eastAsia="en-US"/>
              </w:rPr>
              <w:t xml:space="preserve"> </w:t>
            </w:r>
            <w:r>
              <w:rPr>
                <w:rFonts w:hint="eastAsia" w:ascii="仿宋_GB2312" w:hAnsi="仿宋_GB2312" w:eastAsia="仿宋_GB2312" w:cs="仿宋_GB2312"/>
                <w:spacing w:val="-11"/>
                <w:sz w:val="20"/>
                <w:szCs w:val="20"/>
                <w:lang w:eastAsia="en-US"/>
              </w:rPr>
              <w:t>无</w:t>
            </w:r>
            <w:r>
              <w:rPr>
                <w:rFonts w:hint="eastAsia" w:ascii="仿宋_GB2312" w:hAnsi="仿宋_GB2312" w:eastAsia="仿宋_GB2312" w:cs="仿宋_GB2312"/>
                <w:spacing w:val="-43"/>
                <w:sz w:val="20"/>
                <w:szCs w:val="20"/>
                <w:lang w:eastAsia="en-US"/>
              </w:rPr>
              <w:t xml:space="preserve"> </w:t>
            </w:r>
            <w:r>
              <w:rPr>
                <w:rFonts w:hint="eastAsia" w:ascii="仿宋_GB2312" w:hAnsi="仿宋_GB2312" w:eastAsia="仿宋_GB2312" w:cs="仿宋_GB2312"/>
                <w:spacing w:val="-11"/>
                <w:sz w:val="20"/>
                <w:szCs w:val="20"/>
                <w:lang w:eastAsia="en-US"/>
              </w:rPr>
              <w:t>8mm</w:t>
            </w: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
                <w:sz w:val="20"/>
                <w:szCs w:val="20"/>
                <w:lang w:eastAsia="en-US"/>
              </w:rPr>
              <w:t>深以上孔洞，所有成品</w:t>
            </w: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
                <w:sz w:val="20"/>
                <w:szCs w:val="20"/>
                <w:lang w:eastAsia="en-US"/>
              </w:rPr>
              <w:t>边缘光滑干净</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6.2</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平缝（X)、圆缝（Z）</w:t>
            </w:r>
            <w:r>
              <w:rPr>
                <w:rFonts w:hint="eastAsia" w:ascii="仿宋_GB2312" w:hAnsi="仿宋_GB2312" w:eastAsia="仿宋_GB2312" w:cs="仿宋_GB2312"/>
                <w:sz w:val="20"/>
                <w:szCs w:val="20"/>
                <w:lang w:eastAsia="en-US"/>
              </w:rPr>
              <w:t xml:space="preserve"> </w:t>
            </w:r>
            <w:r>
              <w:rPr>
                <w:rFonts w:hint="eastAsia" w:ascii="仿宋_GB2312" w:hAnsi="仿宋_GB2312" w:eastAsia="仿宋_GB2312" w:cs="仿宋_GB2312"/>
                <w:spacing w:val="-1"/>
                <w:sz w:val="20"/>
                <w:szCs w:val="20"/>
                <w:lang w:eastAsia="en-US"/>
              </w:rPr>
              <w:t>砖缝边缘光滑、无孔</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6.3</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
                <w:sz w:val="20"/>
                <w:szCs w:val="20"/>
                <w:lang w:eastAsia="en-US"/>
              </w:rPr>
              <w:t>饱满度：灰缝砂浆饱满</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6.4</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
                <w:sz w:val="20"/>
                <w:szCs w:val="20"/>
                <w:lang w:eastAsia="en-US"/>
              </w:rPr>
              <w:t>按示意图组砌方式</w:t>
            </w:r>
            <w:r>
              <w:rPr>
                <w:rFonts w:hint="eastAsia" w:ascii="仿宋_GB2312" w:hAnsi="仿宋_GB2312" w:eastAsia="仿宋_GB2312" w:cs="仿宋_GB2312"/>
                <w:sz w:val="20"/>
                <w:szCs w:val="20"/>
                <w:lang w:eastAsia="en-US"/>
              </w:rPr>
              <w:t xml:space="preserve"> </w:t>
            </w:r>
            <w:r>
              <w:rPr>
                <w:rFonts w:hint="eastAsia" w:ascii="仿宋_GB2312" w:hAnsi="仿宋_GB2312" w:eastAsia="仿宋_GB2312" w:cs="仿宋_GB2312"/>
                <w:spacing w:val="-3"/>
                <w:sz w:val="20"/>
                <w:szCs w:val="20"/>
                <w:lang w:eastAsia="en-US"/>
              </w:rPr>
              <w:t>正确砌筑</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6.5</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0"/>
                <w:sz w:val="20"/>
                <w:szCs w:val="20"/>
                <w:lang w:eastAsia="en-US"/>
              </w:rPr>
              <w:t>非整砖切割线平直，</w:t>
            </w:r>
            <w:r>
              <w:rPr>
                <w:rFonts w:hint="eastAsia" w:ascii="仿宋_GB2312" w:hAnsi="仿宋_GB2312" w:eastAsia="仿宋_GB2312" w:cs="仿宋_GB2312"/>
                <w:spacing w:val="-15"/>
                <w:sz w:val="20"/>
                <w:szCs w:val="20"/>
                <w:lang w:eastAsia="en-US"/>
              </w:rPr>
              <w:t xml:space="preserve"> </w:t>
            </w:r>
            <w:r>
              <w:rPr>
                <w:rFonts w:hint="eastAsia" w:ascii="仿宋_GB2312" w:hAnsi="仿宋_GB2312" w:eastAsia="仿宋_GB2312" w:cs="仿宋_GB2312"/>
                <w:spacing w:val="-10"/>
                <w:sz w:val="20"/>
                <w:szCs w:val="20"/>
                <w:lang w:eastAsia="en-US"/>
              </w:rPr>
              <w:t>无</w:t>
            </w:r>
            <w:r>
              <w:rPr>
                <w:rFonts w:hint="eastAsia" w:ascii="仿宋_GB2312" w:hAnsi="仿宋_GB2312" w:eastAsia="仿宋_GB2312" w:cs="仿宋_GB2312"/>
                <w:sz w:val="20"/>
                <w:szCs w:val="20"/>
                <w:lang w:eastAsia="en-US"/>
              </w:rPr>
              <w:t xml:space="preserve"> </w:t>
            </w:r>
            <w:r>
              <w:rPr>
                <w:rFonts w:hint="eastAsia" w:ascii="仿宋_GB2312" w:hAnsi="仿宋_GB2312" w:eastAsia="仿宋_GB2312" w:cs="仿宋_GB2312"/>
                <w:spacing w:val="-2"/>
                <w:sz w:val="20"/>
                <w:szCs w:val="20"/>
                <w:lang w:eastAsia="en-US"/>
              </w:rPr>
              <w:t>缺口</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821"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6.6</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
                <w:sz w:val="20"/>
                <w:szCs w:val="20"/>
                <w:lang w:eastAsia="en-US"/>
              </w:rPr>
              <w:t>水平、竖向接缝横平、</w:t>
            </w:r>
          </w:p>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5"/>
                <w:sz w:val="20"/>
                <w:szCs w:val="20"/>
                <w:lang w:eastAsia="en-US"/>
              </w:rPr>
              <w:t>竖直， 宽厚符合要求，</w:t>
            </w:r>
            <w:r>
              <w:rPr>
                <w:rFonts w:hint="eastAsia" w:ascii="仿宋_GB2312" w:hAnsi="仿宋_GB2312" w:eastAsia="仿宋_GB2312" w:cs="仿宋_GB2312"/>
                <w:spacing w:val="1"/>
                <w:sz w:val="20"/>
                <w:szCs w:val="20"/>
                <w:lang w:eastAsia="en-US"/>
              </w:rPr>
              <w:t xml:space="preserve"> </w:t>
            </w:r>
            <w:r>
              <w:rPr>
                <w:rFonts w:hint="eastAsia" w:ascii="仿宋_GB2312" w:hAnsi="仿宋_GB2312" w:eastAsia="仿宋_GB2312" w:cs="仿宋_GB2312"/>
                <w:spacing w:val="-2"/>
                <w:sz w:val="20"/>
                <w:szCs w:val="20"/>
                <w:lang w:eastAsia="en-US"/>
              </w:rPr>
              <w:t>不游丁走缝</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lang w:eastAsia="zh-CN"/>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6.7</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
                <w:sz w:val="20"/>
                <w:szCs w:val="20"/>
                <w:lang w:eastAsia="en-US"/>
              </w:rPr>
              <w:t>清洁和成品外观</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bottom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6.8</w:t>
            </w:r>
          </w:p>
        </w:tc>
        <w:tc>
          <w:tcPr>
            <w:tcW w:w="2346"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1"/>
                <w:sz w:val="20"/>
                <w:szCs w:val="20"/>
                <w:lang w:eastAsia="en-US"/>
              </w:rPr>
              <w:t>作品背面整洁饱满</w:t>
            </w: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782"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vMerge w:val="continue"/>
            <w:tcBorders>
              <w:top w:val="nil"/>
            </w:tcBorders>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821" w:type="dxa"/>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3"/>
                <w:sz w:val="20"/>
                <w:szCs w:val="20"/>
                <w:lang w:eastAsia="en-US"/>
              </w:rPr>
              <w:t>小计</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2562" w:type="dxa"/>
            <w:gridSpan w:val="3"/>
          </w:tcPr>
          <w:p>
            <w:pPr>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0"/>
                <w:szCs w:val="20"/>
                <w:lang w:eastAsia="en-US"/>
              </w:rPr>
            </w:pPr>
            <w:r>
              <w:rPr>
                <w:rFonts w:hint="eastAsia" w:ascii="仿宋_GB2312" w:hAnsi="仿宋_GB2312" w:eastAsia="仿宋_GB2312" w:cs="仿宋_GB2312"/>
                <w:spacing w:val="-2"/>
                <w:sz w:val="20"/>
                <w:szCs w:val="20"/>
                <w:lang w:eastAsia="en-US"/>
              </w:rPr>
              <w:t>合计</w:t>
            </w:r>
          </w:p>
        </w:tc>
        <w:tc>
          <w:tcPr>
            <w:tcW w:w="2346"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2464"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00"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c>
          <w:tcPr>
            <w:tcW w:w="959" w:type="dxa"/>
          </w:tcPr>
          <w:p>
            <w:pPr>
              <w:pStyle w:val="14"/>
              <w:keepNext w:val="0"/>
              <w:keepLines w:val="0"/>
              <w:pageBreakBefore w:val="0"/>
              <w:wordWrap/>
              <w:overflowPunct/>
              <w:topLinePunct w:val="0"/>
              <w:autoSpaceDE/>
              <w:autoSpaceDN/>
              <w:bidi w:val="0"/>
              <w:adjustRightInd w:val="0"/>
              <w:snapToGrid w:val="0"/>
              <w:spacing w:line="360" w:lineRule="auto"/>
              <w:jc w:val="center"/>
              <w:rPr>
                <w:rFonts w:ascii="仿宋_GB2312" w:hAnsi="仿宋_GB2312" w:eastAsia="仿宋_GB2312" w:cs="仿宋_GB2312"/>
                <w:sz w:val="22"/>
                <w:szCs w:val="22"/>
              </w:rPr>
            </w:pPr>
          </w:p>
        </w:tc>
      </w:tr>
    </w:tbl>
    <w:p>
      <w:pPr>
        <w:keepNext w:val="0"/>
        <w:keepLines w:val="0"/>
        <w:pageBreakBefore w:val="0"/>
        <w:wordWrap/>
        <w:overflowPunct/>
        <w:topLinePunct w:val="0"/>
        <w:bidi w:val="0"/>
        <w:spacing w:line="360" w:lineRule="auto"/>
        <w:rPr>
          <w:rFonts w:ascii="宋体" w:hAnsi="宋体" w:eastAsia="宋体" w:cs="宋体"/>
          <w:szCs w:val="21"/>
        </w:rPr>
      </w:pPr>
      <w:r>
        <w:rPr>
          <w:rFonts w:ascii="宋体" w:hAnsi="宋体" w:eastAsia="宋体" w:cs="宋体"/>
          <w:spacing w:val="-1"/>
          <w:szCs w:val="21"/>
        </w:rPr>
        <w:t>注：各单项分值扣到最大分为止，不再另扣分。</w:t>
      </w:r>
    </w:p>
    <w:p>
      <w:pPr>
        <w:keepNext w:val="0"/>
        <w:keepLines w:val="0"/>
        <w:pageBreakBefore w:val="0"/>
        <w:wordWrap/>
        <w:overflowPunct/>
        <w:topLinePunct w:val="0"/>
        <w:bidi w:val="0"/>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Frutiger LT Com 45 Light">
    <w:altName w:val="Gabriola"/>
    <w:panose1 w:val="00000000000000000000"/>
    <w:charset w:val="00"/>
    <w:family w:val="decorative"/>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Gabriola">
    <w:panose1 w:val="04040605051002020D02"/>
    <w:charset w:val="00"/>
    <w:family w:val="auto"/>
    <w:pitch w:val="default"/>
    <w:sig w:usb0="E00002EF" w:usb1="50002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B95A4"/>
    <w:multiLevelType w:val="multilevel"/>
    <w:tmpl w:val="8B9B95A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
    <w:nsid w:val="D663C284"/>
    <w:multiLevelType w:val="singleLevel"/>
    <w:tmpl w:val="D663C284"/>
    <w:lvl w:ilvl="0" w:tentative="0">
      <w:start w:val="1"/>
      <w:numFmt w:val="bullet"/>
      <w:lvlText w:val="«"/>
      <w:lvlJc w:val="left"/>
      <w:pPr>
        <w:ind w:left="420" w:hanging="420"/>
      </w:pPr>
      <w:rPr>
        <w:rFonts w:hint="default" w:ascii="Wingdings" w:hAnsi="Wingdings" w:cs="Wingdings"/>
      </w:rPr>
    </w:lvl>
  </w:abstractNum>
  <w:abstractNum w:abstractNumId="2">
    <w:nsid w:val="00000002"/>
    <w:multiLevelType w:val="multilevel"/>
    <w:tmpl w:val="00000002"/>
    <w:lvl w:ilvl="0" w:tentative="0">
      <w:start w:val="4"/>
      <w:numFmt w:val="bullet"/>
      <w:pStyle w:val="2"/>
      <w:lvlText w:val="□"/>
      <w:lvlJc w:val="left"/>
      <w:pPr>
        <w:tabs>
          <w:tab w:val="left" w:pos="360"/>
        </w:tabs>
        <w:ind w:left="360" w:hanging="360"/>
      </w:pPr>
      <w:rPr>
        <w:rFonts w:hint="eastAsia" w:ascii="宋体" w:hAnsi="宋体" w:eastAsia="宋体" w:cs="Times New Roman"/>
        <w:b/>
        <w:sz w:val="44"/>
      </w:rPr>
    </w:lvl>
    <w:lvl w:ilvl="1" w:tentative="0">
      <w:start w:val="1"/>
      <w:numFmt w:val="bullet"/>
      <w:pStyle w:val="3"/>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1A92330"/>
    <w:multiLevelType w:val="multilevel"/>
    <w:tmpl w:val="11A92330"/>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F7FED75"/>
    <w:multiLevelType w:val="singleLevel"/>
    <w:tmpl w:val="6F7FED75"/>
    <w:lvl w:ilvl="0" w:tentative="0">
      <w:start w:val="1"/>
      <w:numFmt w:val="chineseCounting"/>
      <w:suff w:val="nothing"/>
      <w:lvlText w:val="（%1）"/>
      <w:lvlJc w:val="left"/>
      <w:rPr>
        <w:rFonts w:hint="eastAsia"/>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Mjg2YTZkZTMyMTYwY2M1OTQ5YzJlN2MyYmRjOGEifQ=="/>
  </w:docVars>
  <w:rsids>
    <w:rsidRoot w:val="79674E41"/>
    <w:rsid w:val="000743B9"/>
    <w:rsid w:val="00146A4C"/>
    <w:rsid w:val="002B07FE"/>
    <w:rsid w:val="004A6EB9"/>
    <w:rsid w:val="017415F3"/>
    <w:rsid w:val="1E346C8E"/>
    <w:rsid w:val="28041837"/>
    <w:rsid w:val="2A0970EF"/>
    <w:rsid w:val="2C4374B0"/>
    <w:rsid w:val="2FB8477A"/>
    <w:rsid w:val="353B4917"/>
    <w:rsid w:val="45B231E2"/>
    <w:rsid w:val="466C6422"/>
    <w:rsid w:val="4AC51AEB"/>
    <w:rsid w:val="4B3E53BF"/>
    <w:rsid w:val="510C4C8B"/>
    <w:rsid w:val="5263591E"/>
    <w:rsid w:val="67E9310A"/>
    <w:rsid w:val="772E7743"/>
    <w:rsid w:val="79674E41"/>
    <w:rsid w:val="7C685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widowControl/>
      <w:numPr>
        <w:ilvl w:val="0"/>
        <w:numId w:val="1"/>
      </w:numPr>
      <w:spacing w:before="400" w:after="120"/>
      <w:outlineLvl w:val="0"/>
    </w:pPr>
    <w:rPr>
      <w:rFonts w:ascii="微软雅黑" w:hAnsi="微软雅黑" w:eastAsia="楷体" w:cs="微软雅黑"/>
      <w:b/>
      <w:kern w:val="0"/>
      <w:sz w:val="32"/>
      <w:szCs w:val="32"/>
      <w:lang w:val="en-GB" w:eastAsia="en-US"/>
    </w:rPr>
  </w:style>
  <w:style w:type="paragraph" w:styleId="3">
    <w:name w:val="heading 2"/>
    <w:basedOn w:val="1"/>
    <w:next w:val="1"/>
    <w:autoRedefine/>
    <w:qFormat/>
    <w:uiPriority w:val="0"/>
    <w:pPr>
      <w:keepNext/>
      <w:keepLines/>
      <w:widowControl/>
      <w:numPr>
        <w:ilvl w:val="1"/>
        <w:numId w:val="1"/>
      </w:numPr>
      <w:tabs>
        <w:tab w:val="left" w:pos="360"/>
      </w:tabs>
      <w:spacing w:before="320" w:after="120"/>
      <w:outlineLvl w:val="1"/>
    </w:pPr>
    <w:rPr>
      <w:rFonts w:ascii="微软雅黑" w:hAnsi="微软雅黑" w:eastAsia="微软雅黑" w:cs="微软雅黑"/>
      <w:b/>
      <w:color w:val="003764"/>
      <w:kern w:val="0"/>
      <w:sz w:val="32"/>
      <w:szCs w:val="32"/>
      <w:lang w:val="en-GB"/>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next w:val="1"/>
    <w:autoRedefine/>
    <w:qFormat/>
    <w:uiPriority w:val="0"/>
    <w:rPr>
      <w:rFonts w:ascii="仿宋_GB2312" w:eastAsia="仿宋_GB2312"/>
      <w:sz w:val="32"/>
    </w:rPr>
  </w:style>
  <w:style w:type="paragraph" w:styleId="5">
    <w:name w:val="Body Text Indent 2"/>
    <w:basedOn w:val="1"/>
    <w:autoRedefine/>
    <w:qFormat/>
    <w:uiPriority w:val="99"/>
    <w:pPr>
      <w:spacing w:after="120" w:line="480" w:lineRule="auto"/>
      <w:ind w:left="420" w:leftChars="200"/>
    </w:pPr>
  </w:style>
  <w:style w:type="paragraph" w:styleId="6">
    <w:name w:val="footer"/>
    <w:basedOn w:val="1"/>
    <w:next w:val="7"/>
    <w:autoRedefine/>
    <w:qFormat/>
    <w:uiPriority w:val="99"/>
    <w:pPr>
      <w:tabs>
        <w:tab w:val="center" w:pos="4153"/>
        <w:tab w:val="right" w:pos="8306"/>
      </w:tabs>
      <w:snapToGrid w:val="0"/>
      <w:jc w:val="left"/>
    </w:pPr>
    <w:rPr>
      <w:kern w:val="0"/>
      <w:sz w:val="18"/>
      <w:szCs w:val="18"/>
    </w:rPr>
  </w:style>
  <w:style w:type="paragraph" w:customStyle="1" w:styleId="7">
    <w:name w:val="Index5"/>
    <w:basedOn w:val="1"/>
    <w:next w:val="1"/>
    <w:autoRedefine/>
    <w:qFormat/>
    <w:uiPriority w:val="0"/>
    <w:pPr>
      <w:ind w:left="800" w:leftChars="800"/>
      <w:textAlignment w:val="baseline"/>
    </w:pPr>
  </w:style>
  <w:style w:type="paragraph" w:styleId="8">
    <w:name w:val="toc 1"/>
    <w:basedOn w:val="1"/>
    <w:next w:val="1"/>
    <w:autoRedefine/>
    <w:qFormat/>
    <w:uiPriority w:val="0"/>
  </w:style>
  <w:style w:type="paragraph" w:styleId="9">
    <w:name w:val="toc 2"/>
    <w:basedOn w:val="1"/>
    <w:next w:val="1"/>
    <w:autoRedefine/>
    <w:qFormat/>
    <w:uiPriority w:val="0"/>
    <w:pPr>
      <w:ind w:left="420" w:leftChars="200"/>
    </w:pPr>
  </w:style>
  <w:style w:type="paragraph" w:styleId="10">
    <w:name w:val="Body Text First Indent"/>
    <w:basedOn w:val="4"/>
    <w:autoRedefine/>
    <w:qFormat/>
    <w:uiPriority w:val="0"/>
    <w:pPr>
      <w:spacing w:line="560" w:lineRule="exact"/>
      <w:ind w:firstLine="721" w:firstLineChars="200"/>
    </w:pPr>
    <w:rPr>
      <w:rFonts w:ascii="Calibri"/>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Table Text"/>
    <w:basedOn w:val="1"/>
    <w:autoRedefine/>
    <w:semiHidden/>
    <w:qFormat/>
    <w:uiPriority w:val="0"/>
    <w:rPr>
      <w:rFonts w:ascii="宋体" w:hAnsi="宋体" w:eastAsia="宋体" w:cs="宋体"/>
      <w:sz w:val="24"/>
      <w:lang w:eastAsia="en-US"/>
    </w:rPr>
  </w:style>
  <w:style w:type="table" w:customStyle="1" w:styleId="15">
    <w:name w:val="Table Normal"/>
    <w:autoRedefine/>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16">
    <w:name w:val="Table Paragraph"/>
    <w:basedOn w:val="1"/>
    <w:autoRedefine/>
    <w:qFormat/>
    <w:uiPriority w:val="1"/>
    <w:pPr>
      <w:autoSpaceDE w:val="0"/>
      <w:autoSpaceDN w:val="0"/>
      <w:spacing w:before="89"/>
      <w:jc w:val="center"/>
    </w:pPr>
    <w:rPr>
      <w:rFonts w:ascii="宋体" w:hAnsi="宋体" w:cs="宋体"/>
      <w:kern w:val="0"/>
      <w:sz w:val="22"/>
      <w:szCs w:val="22"/>
      <w:lang w:val="zh-CN" w:bidi="zh-CN"/>
    </w:rPr>
  </w:style>
  <w:style w:type="paragraph" w:customStyle="1" w:styleId="17">
    <w:name w:val="Editable table text"/>
    <w:basedOn w:val="1"/>
    <w:autoRedefine/>
    <w:qFormat/>
    <w:uiPriority w:val="0"/>
    <w:pPr>
      <w:widowControl/>
    </w:pPr>
    <w:rPr>
      <w:rFonts w:ascii="Frutiger LT Com 45 Light" w:hAnsi="Frutiger LT Com 45 Light"/>
      <w:color w:val="62B5E5"/>
      <w:kern w:val="0"/>
      <w:sz w:val="20"/>
      <w:lang w:val="en-GB" w:eastAsia="en-US"/>
    </w:rPr>
  </w:style>
  <w:style w:type="paragraph" w:customStyle="1" w:styleId="18">
    <w:name w:val="WPSOffice手动目录 1"/>
    <w:autoRedefine/>
    <w:qFormat/>
    <w:uiPriority w:val="0"/>
    <w:rPr>
      <w:rFonts w:ascii="Times New Roman" w:hAnsi="Times New Roman" w:eastAsia="宋体" w:cs="Times New Roman"/>
      <w:lang w:val="en-US" w:eastAsia="zh-CN" w:bidi="ar-SA"/>
    </w:rPr>
  </w:style>
  <w:style w:type="paragraph" w:customStyle="1" w:styleId="19">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styleId="2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1919</Words>
  <Characters>10942</Characters>
  <Lines>91</Lines>
  <Paragraphs>25</Paragraphs>
  <TotalTime>13</TotalTime>
  <ScaleCrop>false</ScaleCrop>
  <LinksUpToDate>false</LinksUpToDate>
  <CharactersWithSpaces>12836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2024-04-13T01:46:00Z</dcterms:created>
  <dc:creator>lzzlist</dc:creator>
  <cp:lastModifiedBy>小辉</cp:lastModifiedBy>
  <dcterms:modified xsi:type="dcterms:W3CDTF">2024-04-23T09:02:29Z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FCC7850EBDE3440CA7FB30F905E35389_13</vt:lpwstr>
  </property>
</Properties>
</file>