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center"/>
        <w:rPr>
          <w:rFonts w:hint="eastAsia" w:ascii="华文中宋" w:hAnsi="华文中宋" w:eastAsia="华文中宋"/>
          <w:b/>
          <w:sz w:val="44"/>
          <w:szCs w:val="44"/>
        </w:rPr>
      </w:pPr>
      <w:bookmarkStart w:id="0" w:name="DB0197A"/>
      <w:r>
        <w:rPr>
          <w:rFonts w:hint="eastAsia" w:ascii="华文中宋" w:hAnsi="华文中宋" w:eastAsia="华文中宋"/>
          <w:b/>
          <w:sz w:val="44"/>
          <w:szCs w:val="44"/>
        </w:rPr>
        <w:t>许昌市劳动人事争议仲裁委员会</w:t>
      </w:r>
      <w:bookmarkEnd w:id="0"/>
    </w:p>
    <w:p>
      <w:pPr>
        <w:spacing w:line="540" w:lineRule="exact"/>
        <w:jc w:val="center"/>
        <w:rPr>
          <w:rFonts w:ascii="华文中宋" w:hAnsi="华文中宋" w:eastAsia="华文中宋"/>
          <w:b/>
          <w:sz w:val="44"/>
          <w:szCs w:val="44"/>
        </w:rPr>
      </w:pPr>
      <w:r>
        <w:rPr>
          <w:rFonts w:hint="eastAsia" w:ascii="华文中宋" w:hAnsi="华文中宋" w:eastAsia="华文中宋"/>
          <w:b/>
          <w:sz w:val="44"/>
          <w:szCs w:val="44"/>
        </w:rPr>
        <w:t>仲裁风险提示书</w:t>
      </w:r>
    </w:p>
    <w:p>
      <w:pPr>
        <w:spacing w:line="540" w:lineRule="exact"/>
        <w:jc w:val="center"/>
        <w:rPr>
          <w:b/>
          <w:sz w:val="52"/>
          <w:szCs w:val="52"/>
        </w:rPr>
      </w:pPr>
    </w:p>
    <w:p>
      <w:pPr>
        <w:spacing w:line="540" w:lineRule="exact"/>
        <w:ind w:firstLine="560" w:firstLineChars="200"/>
        <w:rPr>
          <w:rFonts w:ascii="仿宋_GB2312" w:eastAsia="仿宋_GB2312"/>
          <w:sz w:val="28"/>
          <w:szCs w:val="28"/>
        </w:rPr>
      </w:pPr>
      <w:r>
        <w:rPr>
          <w:rFonts w:hint="eastAsia" w:ascii="仿宋_GB2312" w:eastAsia="仿宋_GB2312"/>
          <w:sz w:val="28"/>
          <w:szCs w:val="28"/>
        </w:rPr>
        <w:t>为方便劳动人事争议案件当事人申请仲裁，帮助当事人避免常见的仲裁风险，减少不必要的损失，根据《中华人民共和国劳动合同法》、《中华人民共和国劳动争议调解仲裁法》等相关法律、法规的规定，现将常见的劳动人事仲裁风险提示如下：</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一、申请仲裁不符合条件：</w:t>
      </w:r>
    </w:p>
    <w:p>
      <w:pPr>
        <w:spacing w:line="540" w:lineRule="exact"/>
        <w:rPr>
          <w:rFonts w:ascii="仿宋_GB2312" w:eastAsia="仿宋_GB2312"/>
          <w:sz w:val="28"/>
          <w:szCs w:val="28"/>
        </w:rPr>
      </w:pPr>
      <w:r>
        <w:rPr>
          <w:rFonts w:hint="eastAsia" w:ascii="仿宋_GB2312" w:eastAsia="仿宋_GB2312"/>
          <w:sz w:val="28"/>
          <w:szCs w:val="28"/>
        </w:rPr>
        <w:t>当事人申请仲裁不符合规定条件的，劳动人事争议仲裁委员会不会受理，即使受理也驳回申请。</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二、仲裁请求不适当：</w:t>
      </w:r>
    </w:p>
    <w:p>
      <w:pPr>
        <w:spacing w:line="540" w:lineRule="exact"/>
        <w:rPr>
          <w:rFonts w:ascii="仿宋_GB2312" w:eastAsia="仿宋_GB2312"/>
          <w:sz w:val="28"/>
          <w:szCs w:val="28"/>
        </w:rPr>
      </w:pPr>
      <w:r>
        <w:rPr>
          <w:rFonts w:hint="eastAsia" w:ascii="仿宋_GB2312" w:eastAsia="仿宋_GB2312"/>
          <w:color w:val="993300"/>
          <w:sz w:val="28"/>
          <w:szCs w:val="28"/>
        </w:rPr>
        <w:t>当事人提出的仲裁请求应明确、具体、完整</w:t>
      </w:r>
      <w:r>
        <w:rPr>
          <w:rFonts w:hint="eastAsia" w:ascii="仿宋_GB2312" w:eastAsia="仿宋_GB2312"/>
          <w:sz w:val="28"/>
          <w:szCs w:val="28"/>
        </w:rPr>
        <w:t>，对未提出的请求劳动人事争议仲裁委员会不会受理。当事人提出的仲裁请求要适当，不要随意扩大仲裁请求范围；无根据的仲裁请求，将得不</w:t>
      </w:r>
      <w:r>
        <w:rPr>
          <w:rFonts w:hint="eastAsia" w:ascii="仿宋_GB2312" w:eastAsia="仿宋_GB2312"/>
          <w:sz w:val="28"/>
          <w:szCs w:val="28"/>
          <w:lang w:val="en-US" w:eastAsia="zh-CN"/>
        </w:rPr>
        <w:t>到</w:t>
      </w:r>
      <w:r>
        <w:rPr>
          <w:rFonts w:hint="eastAsia" w:ascii="仿宋_GB2312" w:eastAsia="仿宋_GB2312"/>
          <w:sz w:val="28"/>
          <w:szCs w:val="28"/>
        </w:rPr>
        <w:t>劳动人事争议仲裁委员会支持。</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三、逾期改变仲裁请求：</w:t>
      </w:r>
    </w:p>
    <w:p>
      <w:pPr>
        <w:spacing w:line="540" w:lineRule="exact"/>
        <w:rPr>
          <w:rFonts w:ascii="仿宋_GB2312" w:eastAsia="仿宋_GB2312"/>
          <w:sz w:val="28"/>
          <w:szCs w:val="28"/>
        </w:rPr>
      </w:pPr>
      <w:r>
        <w:rPr>
          <w:rFonts w:hint="eastAsia" w:ascii="仿宋_GB2312" w:eastAsia="仿宋_GB2312"/>
          <w:sz w:val="28"/>
          <w:szCs w:val="28"/>
        </w:rPr>
        <w:t>当事人增加、变更仲裁请求或者提出反申请，超过劳动人事争议仲裁委员会许可或者指定期限的，仲裁委不会受理。</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四</w:t>
      </w:r>
      <w:r>
        <w:rPr>
          <w:rFonts w:hint="eastAsia" w:ascii="仿宋_GB2312" w:eastAsia="仿宋_GB2312"/>
          <w:sz w:val="28"/>
          <w:szCs w:val="28"/>
        </w:rPr>
        <w:t>、授权不明：</w:t>
      </w:r>
    </w:p>
    <w:p>
      <w:pPr>
        <w:spacing w:line="540" w:lineRule="exact"/>
        <w:rPr>
          <w:rFonts w:ascii="仿宋_GB2312" w:eastAsia="仿宋_GB2312"/>
          <w:sz w:val="28"/>
          <w:szCs w:val="28"/>
        </w:rPr>
      </w:pPr>
      <w:r>
        <w:rPr>
          <w:rFonts w:hint="eastAsia" w:ascii="仿宋_GB2312" w:eastAsia="仿宋_GB2312"/>
          <w:color w:val="993300"/>
          <w:sz w:val="28"/>
          <w:szCs w:val="28"/>
        </w:rPr>
        <w:t>当事人委托代理人代为承认、放弃、变更仲裁请求，进行和解，提起反申请、代为签收仲裁文书等事项的，应在委托授权书中特别注明。</w:t>
      </w:r>
      <w:r>
        <w:rPr>
          <w:rFonts w:hint="eastAsia" w:ascii="仿宋_GB2312" w:eastAsia="仿宋_GB2312"/>
          <w:sz w:val="28"/>
          <w:szCs w:val="28"/>
        </w:rPr>
        <w:t>没有在授权委托书中明确、具体载明特别授权事项的，委托代理人就上述特别授权事项发表的意见不具有法律效力。</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五</w:t>
      </w:r>
      <w:r>
        <w:rPr>
          <w:rFonts w:hint="eastAsia" w:ascii="仿宋_GB2312" w:eastAsia="仿宋_GB2312"/>
          <w:sz w:val="28"/>
          <w:szCs w:val="28"/>
        </w:rPr>
        <w:t>、不提供或者不充分提供证据：</w:t>
      </w:r>
    </w:p>
    <w:p>
      <w:pPr>
        <w:spacing w:line="540" w:lineRule="exact"/>
        <w:rPr>
          <w:rFonts w:ascii="仿宋_GB2312" w:eastAsia="仿宋_GB2312"/>
          <w:sz w:val="28"/>
          <w:szCs w:val="28"/>
        </w:rPr>
      </w:pPr>
      <w:r>
        <w:rPr>
          <w:rFonts w:hint="eastAsia" w:ascii="仿宋_GB2312" w:eastAsia="仿宋_GB2312"/>
          <w:sz w:val="28"/>
          <w:szCs w:val="28"/>
        </w:rPr>
        <w:t>当事人提出仲裁请求或者反驳对方的仲裁请求，应提供相关证据。不能提供相应的证据或者提供的证据证明不了有关事实的，将承担举证不力的后果。</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六</w:t>
      </w:r>
      <w:r>
        <w:rPr>
          <w:rFonts w:hint="eastAsia" w:ascii="仿宋_GB2312" w:eastAsia="仿宋_GB2312"/>
          <w:sz w:val="28"/>
          <w:szCs w:val="28"/>
        </w:rPr>
        <w:t>、超过举证时限提供证据：</w:t>
      </w:r>
    </w:p>
    <w:p>
      <w:pPr>
        <w:spacing w:line="540" w:lineRule="exact"/>
        <w:rPr>
          <w:rFonts w:ascii="仿宋_GB2312" w:eastAsia="仿宋_GB2312"/>
          <w:sz w:val="28"/>
          <w:szCs w:val="28"/>
        </w:rPr>
      </w:pPr>
      <w:bookmarkStart w:id="1" w:name="_GoBack"/>
      <w:r>
        <w:rPr>
          <w:rFonts w:hint="eastAsia" w:ascii="仿宋_GB2312" w:eastAsia="仿宋_GB2312"/>
          <w:sz w:val="28"/>
          <w:szCs w:val="28"/>
        </w:rPr>
        <w:t>当事人向劳动人事争议仲裁委员会提交证据，应当在劳动人事争议仲裁委员会指定的期限内完成。</w:t>
      </w:r>
      <w:bookmarkEnd w:id="1"/>
      <w:r>
        <w:rPr>
          <w:rFonts w:hint="eastAsia" w:ascii="仿宋_GB2312" w:eastAsia="仿宋_GB2312"/>
          <w:sz w:val="28"/>
          <w:szCs w:val="28"/>
        </w:rPr>
        <w:t>在举证期限之内不提交的，视为放弃举证权利。超过上述期限提交的，仲裁委在开庭审理时一般不组织质证，但当事人逾期提交的证据材料足以影响案件公正处理并经仲裁委员会同意的除外。</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七</w:t>
      </w:r>
      <w:r>
        <w:rPr>
          <w:rFonts w:hint="eastAsia" w:ascii="仿宋_GB2312" w:eastAsia="仿宋_GB2312"/>
          <w:sz w:val="28"/>
          <w:szCs w:val="28"/>
        </w:rPr>
        <w:t>、不提供原始证据：</w:t>
      </w:r>
    </w:p>
    <w:p>
      <w:pPr>
        <w:spacing w:line="540" w:lineRule="exact"/>
        <w:rPr>
          <w:rFonts w:ascii="仿宋_GB2312" w:eastAsia="仿宋_GB2312"/>
          <w:sz w:val="28"/>
          <w:szCs w:val="28"/>
        </w:rPr>
      </w:pPr>
      <w:r>
        <w:rPr>
          <w:rFonts w:hint="eastAsia" w:ascii="仿宋_GB2312" w:eastAsia="仿宋_GB2312"/>
          <w:sz w:val="28"/>
          <w:szCs w:val="28"/>
        </w:rPr>
        <w:t>当事人向劳动人事争议仲裁委员会提供证据，应当提供原件或者原物，同时按本案当事人人数提供相应数量经劳动人事争议仲裁委员会核对无异的复制件或者复制品，提供的证据不符合上述条件的，将影响证据的证明力。</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八</w:t>
      </w:r>
      <w:r>
        <w:rPr>
          <w:rFonts w:hint="eastAsia" w:ascii="仿宋_GB2312" w:eastAsia="仿宋_GB2312"/>
          <w:sz w:val="28"/>
          <w:szCs w:val="28"/>
        </w:rPr>
        <w:t>、证人不出庭作证：</w:t>
      </w:r>
    </w:p>
    <w:p>
      <w:pPr>
        <w:spacing w:line="540" w:lineRule="exact"/>
        <w:rPr>
          <w:rFonts w:ascii="仿宋_GB2312" w:eastAsia="仿宋_GB2312"/>
          <w:sz w:val="28"/>
          <w:szCs w:val="28"/>
        </w:rPr>
      </w:pPr>
      <w:r>
        <w:rPr>
          <w:rFonts w:hint="eastAsia" w:ascii="仿宋_GB2312" w:eastAsia="仿宋_GB2312"/>
          <w:sz w:val="28"/>
          <w:szCs w:val="28"/>
        </w:rPr>
        <w:t>当事人提供证人证言的，证人应当出庭作证并接受质询。如果证人不出庭作证，除对方当事人无异议外，否则该证人证言将不被采信。</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lang w:val="en-US" w:eastAsia="zh-CN"/>
        </w:rPr>
        <w:t>九</w:t>
      </w:r>
      <w:r>
        <w:rPr>
          <w:rFonts w:hint="eastAsia" w:ascii="仿宋_GB2312" w:eastAsia="仿宋_GB2312"/>
          <w:sz w:val="28"/>
          <w:szCs w:val="28"/>
        </w:rPr>
        <w:t>、不按规定申请审计、评估、鉴定：</w:t>
      </w:r>
    </w:p>
    <w:p>
      <w:pPr>
        <w:spacing w:line="540" w:lineRule="exact"/>
        <w:rPr>
          <w:rFonts w:ascii="仿宋_GB2312" w:eastAsia="仿宋_GB2312"/>
          <w:sz w:val="28"/>
          <w:szCs w:val="28"/>
        </w:rPr>
      </w:pPr>
      <w:r>
        <w:rPr>
          <w:rFonts w:hint="eastAsia" w:ascii="仿宋_GB2312" w:eastAsia="仿宋_GB2312"/>
          <w:sz w:val="28"/>
          <w:szCs w:val="28"/>
        </w:rPr>
        <w:t>当事人申请审计、评估、鉴定，未在劳动人事争议仲裁委员会指定期限内提出申请或者不预交审计、评估、鉴定费用，或者不提供相关材料，致使争议的事实无法通过审计、评估、鉴定结论予以认定的，将对申请人产生不利后果。</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十、不按时出庭或者中途退出仲裁庭：</w:t>
      </w:r>
    </w:p>
    <w:p>
      <w:pPr>
        <w:spacing w:line="540" w:lineRule="exact"/>
        <w:rPr>
          <w:rFonts w:ascii="仿宋_GB2312" w:eastAsia="仿宋_GB2312"/>
          <w:sz w:val="28"/>
          <w:szCs w:val="28"/>
        </w:rPr>
      </w:pPr>
      <w:r>
        <w:rPr>
          <w:rFonts w:hint="eastAsia" w:ascii="仿宋_GB2312" w:eastAsia="仿宋_GB2312"/>
          <w:sz w:val="28"/>
          <w:szCs w:val="28"/>
        </w:rPr>
        <w:t>申请人接到书面开庭通知，无正当理由拒不到庭，或者未经仲裁庭许可中途退出仲裁庭的，劳动人事争议仲裁委员会将按自动撤回仲裁申请处理；被申请人提出反申请的，劳动人事争议仲裁委员会将对反申请的内容缺席审理。被申请人接到书面开庭通知，无正当理由拒不到庭，或者未经仲裁庭许可中途退出仲裁庭的，劳动人事争议仲裁委员会将缺席裁决；被申请人提出反申请的，则按自动撤回反申请处理。</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十</w:t>
      </w:r>
      <w:r>
        <w:rPr>
          <w:rFonts w:hint="eastAsia" w:ascii="仿宋_GB2312" w:eastAsia="仿宋_GB2312"/>
          <w:sz w:val="28"/>
          <w:szCs w:val="28"/>
          <w:lang w:val="en-US" w:eastAsia="zh-CN"/>
        </w:rPr>
        <w:t>一</w:t>
      </w:r>
      <w:r>
        <w:rPr>
          <w:rFonts w:hint="eastAsia" w:ascii="仿宋_GB2312" w:eastAsia="仿宋_GB2312"/>
          <w:sz w:val="28"/>
          <w:szCs w:val="28"/>
        </w:rPr>
        <w:t>、不准确提供送达地址：</w:t>
      </w:r>
    </w:p>
    <w:p>
      <w:pPr>
        <w:spacing w:line="540" w:lineRule="exact"/>
        <w:rPr>
          <w:rFonts w:ascii="仿宋_GB2312" w:eastAsia="仿宋_GB2312"/>
          <w:sz w:val="28"/>
          <w:szCs w:val="28"/>
        </w:rPr>
      </w:pPr>
      <w:r>
        <w:rPr>
          <w:rFonts w:hint="eastAsia" w:ascii="仿宋_GB2312" w:eastAsia="仿宋_GB2312"/>
          <w:sz w:val="28"/>
          <w:szCs w:val="28"/>
        </w:rPr>
        <w:t>劳动人事争议仲裁委员会按照当事人提供的送达地址送达仲裁文书时，因当事人提供的己方送达地址不准确，或者送达地址变更未及时告知劳动人事争议仲裁委员会，致使劳动人事争议仲裁委员会无法送达，造成仲裁文书被退回的，仲裁文书也视为送达，相关后果由当事人承担。因案件申请人提供的被申请人的名称及其他信息错误造成的后果由申请人自行承担，与仲裁委员会无关。</w:t>
      </w:r>
    </w:p>
    <w:p>
      <w:pPr>
        <w:spacing w:line="540" w:lineRule="exact"/>
        <w:ind w:firstLine="560" w:firstLineChars="200"/>
        <w:outlineLvl w:val="0"/>
        <w:rPr>
          <w:rFonts w:ascii="仿宋_GB2312" w:eastAsia="仿宋_GB2312"/>
          <w:sz w:val="28"/>
          <w:szCs w:val="28"/>
        </w:rPr>
      </w:pPr>
      <w:r>
        <w:rPr>
          <w:rFonts w:hint="eastAsia" w:ascii="仿宋_GB2312" w:eastAsia="仿宋_GB2312"/>
          <w:sz w:val="28"/>
          <w:szCs w:val="28"/>
        </w:rPr>
        <w:t>十</w:t>
      </w:r>
      <w:r>
        <w:rPr>
          <w:rFonts w:hint="eastAsia" w:ascii="仿宋_GB2312" w:eastAsia="仿宋_GB2312"/>
          <w:sz w:val="28"/>
          <w:szCs w:val="28"/>
          <w:lang w:val="en-US" w:eastAsia="zh-CN"/>
        </w:rPr>
        <w:t>二</w:t>
      </w:r>
      <w:r>
        <w:rPr>
          <w:rFonts w:hint="eastAsia" w:ascii="仿宋_GB2312" w:eastAsia="仿宋_GB2312"/>
          <w:sz w:val="28"/>
          <w:szCs w:val="28"/>
        </w:rPr>
        <w:t>、其他需要提示的内容</w:t>
      </w:r>
    </w:p>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EFF" w:usb1="C000247B" w:usb2="00000009" w:usb3="00000000" w:csb0="200001FF" w:csb1="00000000"/>
  </w:font>
  <w:font w:name="华文中宋">
    <w:altName w:val="宋体"/>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rPr>
        <w:b/>
      </w:rPr>
    </w:pPr>
    <w:r>
      <w:rPr>
        <w:kern w:val="0"/>
        <w:szCs w:val="21"/>
      </w:rPr>
      <w:t xml:space="preserve"> </w:t>
    </w:r>
    <w:r>
      <w:rPr>
        <w:b/>
        <w:kern w:val="0"/>
        <w:szCs w:val="21"/>
      </w:rPr>
      <w:fldChar w:fldCharType="begin"/>
    </w:r>
    <w:r>
      <w:rPr>
        <w:b/>
        <w:kern w:val="0"/>
        <w:szCs w:val="21"/>
      </w:rPr>
      <w:instrText xml:space="preserve"> PAGE </w:instrText>
    </w:r>
    <w:r>
      <w:rPr>
        <w:b/>
        <w:kern w:val="0"/>
        <w:szCs w:val="21"/>
      </w:rPr>
      <w:fldChar w:fldCharType="separate"/>
    </w:r>
    <w:r>
      <w:rPr>
        <w:b/>
        <w:kern w:val="0"/>
        <w:szCs w:val="21"/>
      </w:rPr>
      <w:t>1</w:t>
    </w:r>
    <w:r>
      <w:rPr>
        <w:b/>
        <w:kern w:val="0"/>
        <w:szCs w:val="21"/>
      </w:rPr>
      <w:fldChar w:fldCharType="end"/>
    </w:r>
    <w:r>
      <w:rPr>
        <w:b/>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Document Map"/>
    <w:basedOn w:val="1"/>
    <w:link w:val="8"/>
    <w:semiHidden/>
    <w:unhideWhenUsed/>
    <w:uiPriority w:val="99"/>
    <w:rPr>
      <w:rFonts w:ascii="宋体"/>
      <w:sz w:val="18"/>
      <w:szCs w:val="18"/>
    </w:rPr>
  </w:style>
  <w:style w:type="paragraph" w:styleId="3">
    <w:name w:val="footer"/>
    <w:basedOn w:val="1"/>
    <w:link w:val="7"/>
    <w:unhideWhenUsed/>
    <w:uiPriority w:val="0"/>
    <w:pPr>
      <w:tabs>
        <w:tab w:val="center" w:pos="4153"/>
        <w:tab w:val="right" w:pos="8306"/>
      </w:tabs>
      <w:snapToGrid w:val="0"/>
      <w:jc w:val="left"/>
    </w:pPr>
    <w:rPr>
      <w:sz w:val="18"/>
      <w:szCs w:val="18"/>
    </w:rPr>
  </w:style>
  <w:style w:type="paragraph" w:styleId="4">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4"/>
    <w:uiPriority w:val="99"/>
    <w:rPr>
      <w:sz w:val="18"/>
      <w:szCs w:val="18"/>
    </w:rPr>
  </w:style>
  <w:style w:type="character" w:customStyle="1" w:styleId="7">
    <w:name w:val="页脚 字符"/>
    <w:basedOn w:val="5"/>
    <w:link w:val="3"/>
    <w:uiPriority w:val="99"/>
    <w:rPr>
      <w:sz w:val="18"/>
      <w:szCs w:val="18"/>
    </w:rPr>
  </w:style>
  <w:style w:type="character" w:customStyle="1" w:styleId="8">
    <w:name w:val="文档结构图 字符"/>
    <w:basedOn w:val="5"/>
    <w:link w:val="2"/>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B_风险提示书</Template>
  <Company>Microsoft</Company>
  <Pages>3</Pages>
  <Words>225</Words>
  <Characters>1287</Characters>
  <Lines>10</Lines>
  <Paragraphs>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2019-03-07T08:46:00Z</dcterms:created>
  <dc:creator>XTZJ</dc:creator>
  <cp:lastModifiedBy>zcy</cp:lastModifiedBy>
  <cp:lastPrinted>2019-07-08T08:10:00Z</cp:lastPrinted>
  <dcterms:modified xsi:type="dcterms:W3CDTF">2019-07-09T09:37:46Z</dcterms:modified>
  <dc:title>风险提示书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