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cs="黑体"/>
          <w:b/>
          <w:bCs/>
          <w:sz w:val="32"/>
          <w:szCs w:val="32"/>
        </w:rPr>
      </w:pPr>
    </w:p>
    <w:p>
      <w:pPr>
        <w:jc w:val="left"/>
        <w:rPr>
          <w:rFonts w:ascii="黑体" w:hAnsi="黑体" w:eastAsia="黑体" w:cs="黑体"/>
          <w:b/>
          <w:bCs/>
          <w:sz w:val="32"/>
          <w:szCs w:val="32"/>
        </w:rPr>
      </w:pPr>
      <w:r>
        <w:rPr>
          <w:rFonts w:hint="eastAsia" w:ascii="黑体" w:hAnsi="黑体" w:eastAsia="黑体" w:cs="黑体"/>
          <w:b/>
          <w:bCs/>
          <w:sz w:val="32"/>
          <w:szCs w:val="32"/>
        </w:rPr>
        <w:t>附件</w:t>
      </w:r>
      <w:r>
        <w:rPr>
          <w:rFonts w:hint="eastAsia" w:ascii="黑体" w:hAnsi="黑体" w:eastAsia="黑体" w:cs="黑体"/>
          <w:b/>
          <w:bCs/>
          <w:sz w:val="32"/>
          <w:szCs w:val="32"/>
          <w:lang w:val="en-US" w:eastAsia="zh-CN"/>
        </w:rPr>
        <w:t>5</w:t>
      </w:r>
      <w:r>
        <w:rPr>
          <w:rFonts w:hint="eastAsia" w:ascii="黑体" w:hAnsi="黑体" w:eastAsia="黑体" w:cs="黑体"/>
          <w:b/>
          <w:bCs/>
          <w:sz w:val="32"/>
          <w:szCs w:val="32"/>
        </w:rPr>
        <w:t>：</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ascii="华文中宋" w:hAnsi="华文中宋" w:eastAsia="华文中宋" w:cs="华文中宋"/>
          <w:b/>
          <w:bCs/>
          <w:sz w:val="40"/>
          <w:szCs w:val="40"/>
        </w:rPr>
      </w:pPr>
    </w:p>
    <w:p>
      <w:pPr>
        <w:jc w:val="center"/>
        <w:rPr>
          <w:rFonts w:ascii="华文中宋" w:hAnsi="华文中宋" w:eastAsia="华文中宋" w:cs="华文中宋"/>
          <w:b/>
          <w:bCs/>
          <w:sz w:val="40"/>
          <w:szCs w:val="40"/>
        </w:rPr>
      </w:pPr>
      <w:r>
        <w:rPr>
          <w:rFonts w:hint="eastAsia" w:ascii="华文中宋" w:hAnsi="华文中宋" w:eastAsia="华文中宋" w:cs="华文中宋"/>
          <w:b/>
          <w:bCs/>
          <w:sz w:val="40"/>
          <w:szCs w:val="40"/>
        </w:rPr>
        <w:t>河南省2022年统一考试录用公务员许昌职位</w:t>
      </w:r>
    </w:p>
    <w:p>
      <w:pPr>
        <w:jc w:val="center"/>
        <w:rPr>
          <w:rFonts w:ascii="华文中宋" w:hAnsi="华文中宋" w:eastAsia="华文中宋" w:cs="华文中宋"/>
          <w:b/>
          <w:bCs/>
          <w:sz w:val="40"/>
          <w:szCs w:val="40"/>
        </w:rPr>
      </w:pPr>
      <w:r>
        <w:rPr>
          <w:rFonts w:hint="eastAsia" w:ascii="华文中宋" w:hAnsi="华文中宋" w:eastAsia="华文中宋" w:cs="华文中宋"/>
          <w:b/>
          <w:bCs/>
          <w:sz w:val="40"/>
          <w:szCs w:val="40"/>
        </w:rPr>
        <w:t>面试考生疫情防控注意事项</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_GB2312" w:hAnsi="仿宋_GB2312" w:eastAsia="仿宋_GB2312" w:cs="仿宋_GB2312"/>
          <w:sz w:val="32"/>
          <w:szCs w:val="32"/>
        </w:rPr>
      </w:pP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前，请广大考生通过“豫事办”APP或者“河南省人民政府门户网站”，及时关注并查询许昌市新冠肺炎疫情防控指挥部办公室最新发布的疫情防控措施，并严格执行。</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请许昌市外考生提前3天下载并登录“豫事办”APP来（返）豫报备系统进行入许人员报备。落实许昌市常态化核酸检测措施，即每48小时进行一次核酸检测。</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rPr>
        <w:t>一、考生参考的健康及相关要求</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sz w:val="32"/>
          <w:szCs w:val="32"/>
        </w:rPr>
        <w:t>健康码为绿码，通信大数据行程卡显示无异常的考生须提供面试当天前48小时内新冠肺炎病毒核酸检测阴性证明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rPr>
        <w:t>有低风险区旅居史的来许返许考生，</w:t>
      </w:r>
      <w:r>
        <w:rPr>
          <w:rFonts w:hint="eastAsia" w:ascii="仿宋_GB2312" w:hAnsi="仿宋_GB2312" w:eastAsia="仿宋_GB2312" w:cs="仿宋_GB2312"/>
          <w:color w:val="auto"/>
          <w:sz w:val="32"/>
          <w:szCs w:val="32"/>
          <w:lang w:eastAsia="zh-CN"/>
        </w:rPr>
        <w:t>须提交抵许后</w:t>
      </w:r>
      <w:r>
        <w:rPr>
          <w:rFonts w:hint="eastAsia" w:ascii="仿宋_GB2312" w:hAnsi="仿宋_GB2312" w:eastAsia="仿宋_GB2312" w:cs="仿宋_GB2312"/>
          <w:color w:val="auto"/>
          <w:sz w:val="32"/>
          <w:szCs w:val="32"/>
        </w:rPr>
        <w:t>3天内两次核酸检测</w:t>
      </w:r>
      <w:r>
        <w:rPr>
          <w:rFonts w:hint="eastAsia" w:ascii="仿宋_GB2312" w:hAnsi="仿宋_GB2312" w:eastAsia="仿宋_GB2312" w:cs="仿宋_GB2312"/>
          <w:color w:val="auto"/>
          <w:sz w:val="32"/>
          <w:szCs w:val="32"/>
          <w:lang w:eastAsia="zh-CN"/>
        </w:rPr>
        <w:t>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且现场体温测量正常（＜37.3℃）、无新冠肺炎相关症状；</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eastAsia="zh-CN"/>
        </w:rPr>
        <w:t>入境人员实施“</w:t>
      </w:r>
      <w:r>
        <w:rPr>
          <w:rFonts w:hint="eastAsia" w:ascii="仿宋_GB2312" w:hAnsi="仿宋_GB2312" w:eastAsia="仿宋_GB2312" w:cs="仿宋_GB2312"/>
          <w:color w:val="auto"/>
          <w:sz w:val="32"/>
          <w:szCs w:val="32"/>
          <w:lang w:val="en-US" w:eastAsia="zh-CN"/>
        </w:rPr>
        <w:t>7天集中隔离医学观察+3天居家健康监测</w:t>
      </w:r>
      <w:r>
        <w:rPr>
          <w:rFonts w:hint="eastAsia" w:ascii="仿宋_GB2312" w:hAnsi="仿宋_GB2312" w:eastAsia="仿宋_GB2312" w:cs="仿宋_GB2312"/>
          <w:color w:val="auto"/>
          <w:sz w:val="32"/>
          <w:szCs w:val="32"/>
          <w:lang w:eastAsia="zh-CN"/>
        </w:rPr>
        <w:t>”管理措施；</w:t>
      </w:r>
      <w:r>
        <w:rPr>
          <w:rFonts w:hint="eastAsia" w:ascii="仿宋_GB2312" w:hAnsi="仿宋_GB2312" w:eastAsia="仿宋_GB2312" w:cs="仿宋_GB2312"/>
          <w:color w:val="auto"/>
          <w:sz w:val="32"/>
          <w:szCs w:val="32"/>
        </w:rPr>
        <w:t>有高风险区旅居史的来许返许考生，</w:t>
      </w:r>
      <w:r>
        <w:rPr>
          <w:rFonts w:hint="eastAsia" w:ascii="仿宋_GB2312" w:hAnsi="仿宋_GB2312" w:eastAsia="仿宋_GB2312" w:cs="仿宋_GB2312"/>
          <w:color w:val="auto"/>
          <w:sz w:val="32"/>
          <w:szCs w:val="32"/>
          <w:lang w:eastAsia="zh-CN"/>
        </w:rPr>
        <w:t>至少提前</w:t>
      </w:r>
      <w:r>
        <w:rPr>
          <w:rFonts w:hint="eastAsia" w:ascii="仿宋_GB2312" w:hAnsi="仿宋_GB2312" w:eastAsia="仿宋_GB2312" w:cs="仿宋_GB2312"/>
          <w:color w:val="auto"/>
          <w:sz w:val="32"/>
          <w:szCs w:val="32"/>
        </w:rPr>
        <w:t>7天</w:t>
      </w:r>
      <w:r>
        <w:rPr>
          <w:rFonts w:hint="eastAsia" w:ascii="仿宋_GB2312" w:hAnsi="仿宋_GB2312" w:eastAsia="仿宋_GB2312" w:cs="仿宋_GB2312"/>
          <w:color w:val="auto"/>
          <w:sz w:val="32"/>
          <w:szCs w:val="32"/>
          <w:lang w:eastAsia="zh-CN"/>
        </w:rPr>
        <w:t>抵许并实行</w:t>
      </w:r>
      <w:r>
        <w:rPr>
          <w:rFonts w:hint="eastAsia" w:ascii="仿宋_GB2312" w:hAnsi="仿宋_GB2312" w:eastAsia="仿宋_GB2312" w:cs="仿宋_GB2312"/>
          <w:color w:val="auto"/>
          <w:sz w:val="32"/>
          <w:szCs w:val="32"/>
        </w:rPr>
        <w:t>7天集中隔离医学观察；有中风险区旅居史的来许</w:t>
      </w:r>
      <w:r>
        <w:rPr>
          <w:rFonts w:hint="eastAsia" w:ascii="仿宋_GB2312" w:hAnsi="仿宋_GB2312" w:eastAsia="仿宋_GB2312" w:cs="仿宋_GB2312"/>
          <w:color w:val="auto"/>
          <w:sz w:val="32"/>
          <w:szCs w:val="32"/>
          <w:lang w:eastAsia="zh-CN"/>
        </w:rPr>
        <w:t>返许</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color w:val="auto"/>
          <w:sz w:val="32"/>
          <w:szCs w:val="32"/>
          <w:lang w:eastAsia="zh-CN"/>
        </w:rPr>
        <w:t>至少提前</w:t>
      </w:r>
      <w:r>
        <w:rPr>
          <w:rFonts w:hint="eastAsia" w:ascii="仿宋_GB2312" w:hAnsi="仿宋_GB2312" w:eastAsia="仿宋_GB2312" w:cs="仿宋_GB2312"/>
          <w:color w:val="auto"/>
          <w:sz w:val="32"/>
          <w:szCs w:val="32"/>
        </w:rPr>
        <w:t>7天</w:t>
      </w:r>
      <w:r>
        <w:rPr>
          <w:rFonts w:hint="eastAsia" w:ascii="仿宋_GB2312" w:hAnsi="仿宋_GB2312" w:eastAsia="仿宋_GB2312" w:cs="仿宋_GB2312"/>
          <w:color w:val="auto"/>
          <w:sz w:val="32"/>
          <w:szCs w:val="32"/>
          <w:lang w:eastAsia="zh-CN"/>
        </w:rPr>
        <w:t>抵许并</w:t>
      </w:r>
      <w:r>
        <w:rPr>
          <w:rFonts w:hint="eastAsia" w:ascii="仿宋_GB2312" w:hAnsi="仿宋_GB2312" w:eastAsia="仿宋_GB2312" w:cs="仿宋_GB2312"/>
          <w:color w:val="auto"/>
          <w:sz w:val="32"/>
          <w:szCs w:val="32"/>
        </w:rPr>
        <w:t>实行7天居家隔离医学观察（从</w:t>
      </w:r>
      <w:r>
        <w:rPr>
          <w:rFonts w:hint="eastAsia" w:ascii="仿宋_GB2312" w:hAnsi="仿宋_GB2312" w:eastAsia="仿宋_GB2312" w:cs="仿宋_GB2312"/>
          <w:color w:val="auto"/>
          <w:sz w:val="32"/>
          <w:szCs w:val="32"/>
          <w:lang w:eastAsia="zh-CN"/>
        </w:rPr>
        <w:t>外地来许</w:t>
      </w:r>
      <w:r>
        <w:rPr>
          <w:rFonts w:hint="eastAsia" w:ascii="仿宋_GB2312" w:hAnsi="仿宋_GB2312" w:eastAsia="仿宋_GB2312" w:cs="仿宋_GB2312"/>
          <w:color w:val="auto"/>
          <w:sz w:val="32"/>
          <w:szCs w:val="32"/>
        </w:rPr>
        <w:t>考生，</w:t>
      </w:r>
      <w:r>
        <w:rPr>
          <w:rFonts w:hint="eastAsia" w:ascii="仿宋_GB2312" w:hAnsi="仿宋_GB2312" w:eastAsia="仿宋_GB2312" w:cs="仿宋_GB2312"/>
          <w:color w:val="auto"/>
          <w:sz w:val="32"/>
          <w:szCs w:val="32"/>
          <w:lang w:eastAsia="zh-CN"/>
        </w:rPr>
        <w:t>如不具备</w:t>
      </w:r>
      <w:r>
        <w:rPr>
          <w:rFonts w:hint="eastAsia" w:ascii="仿宋_GB2312" w:hAnsi="仿宋_GB2312" w:eastAsia="仿宋_GB2312" w:cs="仿宋_GB2312"/>
          <w:color w:val="auto"/>
          <w:sz w:val="32"/>
          <w:szCs w:val="32"/>
        </w:rPr>
        <w:t>居家隔离医学观察</w:t>
      </w:r>
      <w:r>
        <w:rPr>
          <w:rFonts w:hint="eastAsia" w:ascii="仿宋_GB2312" w:hAnsi="仿宋_GB2312" w:eastAsia="仿宋_GB2312" w:cs="仿宋_GB2312"/>
          <w:color w:val="auto"/>
          <w:sz w:val="32"/>
          <w:szCs w:val="32"/>
          <w:lang w:eastAsia="zh-CN"/>
        </w:rPr>
        <w:t>条件，采取</w:t>
      </w:r>
      <w:r>
        <w:rPr>
          <w:rFonts w:hint="eastAsia" w:ascii="仿宋_GB2312" w:hAnsi="仿宋_GB2312" w:eastAsia="仿宋_GB2312" w:cs="仿宋_GB2312"/>
          <w:color w:val="auto"/>
          <w:sz w:val="32"/>
          <w:szCs w:val="32"/>
        </w:rPr>
        <w:t>7天集中隔离医学观察）；有低风险区旅居史的来许返许考生，</w:t>
      </w:r>
      <w:r>
        <w:rPr>
          <w:rFonts w:hint="eastAsia" w:ascii="仿宋_GB2312" w:hAnsi="仿宋_GB2312" w:eastAsia="仿宋_GB2312" w:cs="仿宋_GB2312"/>
          <w:color w:val="auto"/>
          <w:sz w:val="32"/>
          <w:szCs w:val="32"/>
          <w:lang w:eastAsia="zh-CN"/>
        </w:rPr>
        <w:t>至少提前</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天</w:t>
      </w:r>
      <w:r>
        <w:rPr>
          <w:rFonts w:hint="eastAsia" w:ascii="仿宋_GB2312" w:hAnsi="仿宋_GB2312" w:eastAsia="仿宋_GB2312" w:cs="仿宋_GB2312"/>
          <w:color w:val="auto"/>
          <w:sz w:val="32"/>
          <w:szCs w:val="32"/>
          <w:lang w:eastAsia="zh-CN"/>
        </w:rPr>
        <w:t>抵许，</w:t>
      </w:r>
      <w:r>
        <w:rPr>
          <w:rFonts w:hint="eastAsia" w:ascii="仿宋_GB2312" w:hAnsi="仿宋_GB2312" w:eastAsia="仿宋_GB2312" w:cs="仿宋_GB2312"/>
          <w:color w:val="auto"/>
          <w:sz w:val="32"/>
          <w:szCs w:val="32"/>
        </w:rPr>
        <w:t>3天内应完成两次核酸检测，并做好健康</w:t>
      </w:r>
      <w:r>
        <w:rPr>
          <w:rFonts w:hint="eastAsia" w:ascii="仿宋_GB2312" w:hAnsi="仿宋_GB2312" w:eastAsia="仿宋_GB2312" w:cs="仿宋_GB2312"/>
          <w:color w:val="auto"/>
          <w:sz w:val="32"/>
          <w:szCs w:val="32"/>
          <w:lang w:eastAsia="zh-CN"/>
        </w:rPr>
        <w:t>监测；</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（三）所有考生均需提前下载打印、如实填写《考生健康管理信息承诺书》</w:t>
      </w:r>
      <w:bookmarkStart w:id="0" w:name="_GoBack"/>
      <w:bookmarkEnd w:id="0"/>
      <w:r>
        <w:rPr>
          <w:rFonts w:hint="eastAsia" w:ascii="仿宋_GB2312" w:hAnsi="仿宋_GB2312" w:eastAsia="仿宋_GB2312" w:cs="仿宋_GB2312"/>
          <w:color w:val="auto"/>
          <w:sz w:val="32"/>
          <w:szCs w:val="32"/>
        </w:rPr>
        <w:t>，确保信息准确、属实，不得虚报、瞒报；</w:t>
      </w:r>
      <w:r>
        <w:rPr>
          <w:rFonts w:hint="eastAsia" w:ascii="仿宋_GB2312" w:hAnsi="仿宋_GB2312" w:eastAsia="仿宋_GB2312" w:cs="仿宋_GB2312"/>
          <w:color w:val="auto"/>
          <w:sz w:val="32"/>
          <w:szCs w:val="32"/>
          <w:lang w:eastAsia="zh-CN"/>
        </w:rPr>
        <w:t>面试时，考生需将</w:t>
      </w:r>
      <w:r>
        <w:rPr>
          <w:rFonts w:hint="eastAsia" w:ascii="仿宋_GB2312" w:hAnsi="仿宋_GB2312" w:eastAsia="仿宋_GB2312" w:cs="仿宋_GB2312"/>
          <w:color w:val="auto"/>
          <w:sz w:val="32"/>
          <w:szCs w:val="32"/>
        </w:rPr>
        <w:t>《考生健康管理信息承诺书》</w:t>
      </w:r>
      <w:r>
        <w:rPr>
          <w:rFonts w:hint="eastAsia" w:ascii="仿宋_GB2312" w:hAnsi="仿宋_GB2312" w:eastAsia="仿宋_GB2312" w:cs="仿宋_GB2312"/>
          <w:color w:val="auto"/>
          <w:sz w:val="32"/>
          <w:szCs w:val="32"/>
          <w:lang w:eastAsia="zh-CN"/>
        </w:rPr>
        <w:t>交候考室工作人员；</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（四）考生除核验身份</w:t>
      </w:r>
      <w:r>
        <w:rPr>
          <w:rFonts w:hint="eastAsia" w:ascii="仿宋_GB2312" w:hAnsi="仿宋_GB2312" w:eastAsia="仿宋_GB2312" w:cs="仿宋_GB2312"/>
          <w:color w:val="auto"/>
          <w:sz w:val="32"/>
          <w:szCs w:val="32"/>
          <w:lang w:eastAsia="zh-CN"/>
        </w:rPr>
        <w:t>和面试答题</w:t>
      </w:r>
      <w:r>
        <w:rPr>
          <w:rFonts w:hint="eastAsia" w:ascii="仿宋_GB2312" w:hAnsi="仿宋_GB2312" w:eastAsia="仿宋_GB2312" w:cs="仿宋_GB2312"/>
          <w:color w:val="auto"/>
          <w:sz w:val="32"/>
          <w:szCs w:val="32"/>
        </w:rPr>
        <w:t>摘戴口罩</w:t>
      </w:r>
      <w:r>
        <w:rPr>
          <w:rFonts w:hint="eastAsia" w:ascii="仿宋_GB2312" w:hAnsi="仿宋_GB2312" w:eastAsia="仿宋_GB2312" w:cs="仿宋_GB2312"/>
          <w:color w:val="auto"/>
          <w:sz w:val="32"/>
          <w:szCs w:val="32"/>
          <w:lang w:eastAsia="zh-CN"/>
        </w:rPr>
        <w:t>外，考试</w:t>
      </w:r>
      <w:r>
        <w:rPr>
          <w:rFonts w:hint="eastAsia" w:ascii="仿宋_GB2312" w:hAnsi="仿宋_GB2312" w:eastAsia="仿宋_GB2312" w:cs="仿宋_GB2312"/>
          <w:color w:val="auto"/>
          <w:sz w:val="32"/>
          <w:szCs w:val="32"/>
        </w:rPr>
        <w:t>全程</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佩戴</w:t>
      </w:r>
      <w:r>
        <w:rPr>
          <w:rFonts w:hint="eastAsia" w:ascii="仿宋_GB2312" w:hAnsi="仿宋_GB2312" w:eastAsia="仿宋_GB2312" w:cs="仿宋_GB2312"/>
          <w:color w:val="auto"/>
          <w:sz w:val="32"/>
          <w:szCs w:val="32"/>
          <w:lang w:eastAsia="zh-CN"/>
        </w:rPr>
        <w:t>一次性</w:t>
      </w:r>
      <w:r>
        <w:rPr>
          <w:rFonts w:hint="eastAsia" w:ascii="仿宋_GB2312" w:hAnsi="仿宋_GB2312" w:eastAsia="仿宋_GB2312" w:cs="仿宋_GB2312"/>
          <w:color w:val="auto"/>
          <w:sz w:val="32"/>
          <w:szCs w:val="32"/>
        </w:rPr>
        <w:t>口罩（每4个小时更换一次）</w:t>
      </w:r>
      <w:r>
        <w:rPr>
          <w:rFonts w:hint="eastAsia" w:ascii="仿宋_GB2312" w:hAnsi="仿宋_GB2312" w:eastAsia="仿宋_GB2312" w:cs="仿宋_GB2312"/>
          <w:color w:val="auto"/>
          <w:sz w:val="32"/>
          <w:szCs w:val="32"/>
          <w:lang w:eastAsia="zh-CN"/>
        </w:rPr>
        <w:t>；</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）考生进出考点时，应保持1米以上间距，有序行进，避免人员聚集</w:t>
      </w:r>
      <w:r>
        <w:rPr>
          <w:rFonts w:hint="eastAsia" w:ascii="仿宋_GB2312" w:hAnsi="仿宋_GB2312" w:eastAsia="仿宋_GB2312" w:cs="仿宋_GB2312"/>
          <w:color w:val="auto"/>
          <w:sz w:val="32"/>
          <w:szCs w:val="32"/>
          <w:lang w:eastAsia="zh-CN"/>
        </w:rPr>
        <w:t>；</w:t>
      </w:r>
    </w:p>
    <w:p>
      <w:pPr>
        <w:pStyle w:val="2"/>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仿宋_GB2312" w:hAnsi="仿宋_GB2312" w:eastAsia="仿宋_GB2312" w:cs="仿宋_GB2312"/>
          <w:color w:val="auto"/>
          <w:sz w:val="32"/>
          <w:szCs w:val="32"/>
          <w:lang w:eastAsia="zh-CN"/>
        </w:rPr>
        <w:t>（六）考生进入考点时，</w:t>
      </w:r>
      <w:r>
        <w:rPr>
          <w:rFonts w:hint="eastAsia" w:ascii="仿宋_GB2312" w:hAnsi="仿宋_GB2312" w:eastAsia="仿宋_GB2312" w:cs="仿宋_GB2312"/>
          <w:color w:val="auto"/>
          <w:kern w:val="0"/>
          <w:sz w:val="32"/>
          <w:szCs w:val="32"/>
          <w:lang w:val="en-US" w:eastAsia="zh-CN"/>
        </w:rPr>
        <w:t>不配合防疫检查的，</w:t>
      </w:r>
      <w:r>
        <w:rPr>
          <w:rFonts w:hint="eastAsia" w:ascii="仿宋_GB2312" w:hAnsi="仿宋_GB2312" w:eastAsia="仿宋_GB2312" w:cs="仿宋_GB2312"/>
          <w:color w:val="auto"/>
          <w:sz w:val="32"/>
          <w:szCs w:val="32"/>
          <w:lang w:eastAsia="zh-CN"/>
        </w:rPr>
        <w:t>未按疫情防控要求准确、真实、完整提供相关信息资料的，不能提供规定时间内</w:t>
      </w:r>
      <w:r>
        <w:rPr>
          <w:rFonts w:hint="eastAsia" w:ascii="仿宋_GB2312" w:hAnsi="仿宋_GB2312" w:eastAsia="仿宋_GB2312" w:cs="仿宋_GB2312"/>
          <w:sz w:val="32"/>
          <w:szCs w:val="32"/>
        </w:rPr>
        <w:t>核酸检测阴性证明</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color w:val="auto"/>
          <w:sz w:val="32"/>
          <w:szCs w:val="32"/>
          <w:lang w:eastAsia="zh-CN"/>
        </w:rPr>
        <w:t>不得进入考点。</w:t>
      </w:r>
    </w:p>
    <w:p>
      <w:pPr>
        <w:pageBreakBefore w:val="0"/>
        <w:widowControl w:val="0"/>
        <w:kinsoku/>
        <w:wordWrap/>
        <w:overflowPunct/>
        <w:topLinePunct w:val="0"/>
        <w:autoSpaceDE/>
        <w:autoSpaceDN/>
        <w:bidi w:val="0"/>
        <w:adjustRightInd/>
        <w:snapToGrid/>
        <w:spacing w:line="600" w:lineRule="exact"/>
        <w:ind w:firstLine="643" w:firstLineChars="200"/>
        <w:textAlignment w:val="auto"/>
        <w:rPr>
          <w:rFonts w:ascii="黑体" w:hAnsi="黑体" w:eastAsia="黑体" w:cs="黑体"/>
          <w:b/>
          <w:bCs/>
          <w:color w:val="auto"/>
          <w:sz w:val="32"/>
          <w:szCs w:val="32"/>
        </w:rPr>
      </w:pPr>
      <w:r>
        <w:rPr>
          <w:rFonts w:hint="eastAsia" w:ascii="黑体" w:hAnsi="黑体" w:eastAsia="黑体" w:cs="黑体"/>
          <w:b/>
          <w:bCs/>
          <w:color w:val="auto"/>
          <w:sz w:val="32"/>
          <w:szCs w:val="32"/>
          <w:lang w:eastAsia="zh-CN"/>
        </w:rPr>
        <w:t>二</w:t>
      </w:r>
      <w:r>
        <w:rPr>
          <w:rFonts w:hint="eastAsia" w:ascii="黑体" w:hAnsi="黑体" w:eastAsia="黑体" w:cs="黑体"/>
          <w:b/>
          <w:bCs/>
          <w:color w:val="auto"/>
          <w:sz w:val="32"/>
          <w:szCs w:val="32"/>
        </w:rPr>
        <w:t>、温馨提示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（一）请广大考生提前做好自我健康管理，通过微信小程序“国家政务服务平台”或支付宝小程序“豫事办”申领本人防疫健康码和通信大数据行程卡，并持续关注健康码和通信大数据行程卡状态。</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（二）考生赴考时如乘坐公共交通工具，需要全程佩戴口罩，有条件的可佩戴一次性手套，并做好手部卫生，同时注意社交距离。</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（三）面试前，考生应至少提前40分钟到达考点。考生进入考点前，应当主动出示本人防疫健康码信息、通信大数据行程卡和面试当天前48小时内新冠肺炎病毒核酸检测阴性证明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rPr>
        <w:t>有低风险区旅居史的来许返许考生，</w:t>
      </w:r>
      <w:r>
        <w:rPr>
          <w:rFonts w:hint="eastAsia" w:ascii="仿宋_GB2312" w:hAnsi="仿宋_GB2312" w:eastAsia="仿宋_GB2312" w:cs="仿宋_GB2312"/>
          <w:color w:val="auto"/>
          <w:sz w:val="32"/>
          <w:szCs w:val="32"/>
          <w:lang w:eastAsia="zh-CN"/>
        </w:rPr>
        <w:t>须提交抵许后</w:t>
      </w:r>
      <w:r>
        <w:rPr>
          <w:rFonts w:hint="eastAsia" w:ascii="仿宋_GB2312" w:hAnsi="仿宋_GB2312" w:eastAsia="仿宋_GB2312" w:cs="仿宋_GB2312"/>
          <w:color w:val="auto"/>
          <w:sz w:val="32"/>
          <w:szCs w:val="32"/>
        </w:rPr>
        <w:t>3天内两次核酸检测</w:t>
      </w:r>
      <w:r>
        <w:rPr>
          <w:rFonts w:hint="eastAsia" w:ascii="仿宋_GB2312" w:hAnsi="仿宋_GB2312" w:eastAsia="仿宋_GB2312" w:cs="仿宋_GB2312"/>
          <w:color w:val="auto"/>
          <w:sz w:val="32"/>
          <w:szCs w:val="32"/>
          <w:lang w:eastAsia="zh-CN"/>
        </w:rPr>
        <w:t>阴性证明</w:t>
      </w:r>
      <w:r>
        <w:rPr>
          <w:rFonts w:hint="eastAsia" w:ascii="仿宋_GB2312" w:eastAsia="仿宋_GB2312"/>
          <w:color w:val="auto"/>
          <w:sz w:val="32"/>
          <w:szCs w:val="32"/>
          <w:lang w:val="en-US" w:eastAsia="zh-CN"/>
        </w:rPr>
        <w:t>）</w:t>
      </w:r>
      <w:r>
        <w:rPr>
          <w:rFonts w:hint="eastAsia" w:ascii="仿宋_GB2312" w:hAnsi="仿宋_GB2312" w:eastAsia="仿宋_GB2312" w:cs="仿宋_GB2312"/>
          <w:color w:val="auto"/>
          <w:sz w:val="32"/>
          <w:szCs w:val="32"/>
        </w:rPr>
        <w:t>，并按要求主动接受体温测量。</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color w:val="auto"/>
          <w:lang w:val="en-US" w:eastAsia="zh-CN"/>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color w:val="auto"/>
          <w:sz w:val="32"/>
          <w:szCs w:val="32"/>
          <w:lang w:val="en-US" w:eastAsia="zh-CN"/>
        </w:rPr>
        <w:t>隐瞒或谎报旅居史、接触史、健康状况等疫情防控重点信息的，不配合面试疫情防控及其他工作安排的，一律取消面试资格并记入公务员录用诚信档案库。有违法行为的，将移交有关部门依法处理。</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面试</w:t>
      </w:r>
      <w:r>
        <w:rPr>
          <w:rFonts w:hint="eastAsia" w:ascii="仿宋_GB2312" w:hAnsi="仿宋_GB2312" w:eastAsia="仿宋_GB2312" w:cs="仿宋_GB2312"/>
          <w:color w:val="auto"/>
          <w:sz w:val="32"/>
          <w:szCs w:val="32"/>
        </w:rPr>
        <w:t>期间，考生要自觉</w:t>
      </w:r>
      <w:r>
        <w:rPr>
          <w:rFonts w:hint="eastAsia" w:ascii="仿宋_GB2312" w:hAnsi="仿宋_GB2312" w:eastAsia="仿宋_GB2312" w:cs="仿宋_GB2312"/>
          <w:color w:val="auto"/>
          <w:sz w:val="32"/>
          <w:szCs w:val="32"/>
          <w:lang w:eastAsia="zh-CN"/>
        </w:rPr>
        <w:t>遵守</w:t>
      </w:r>
      <w:r>
        <w:rPr>
          <w:rFonts w:hint="eastAsia" w:ascii="仿宋_GB2312" w:hAnsi="仿宋_GB2312" w:eastAsia="仿宋_GB2312" w:cs="仿宋_GB2312"/>
          <w:color w:val="auto"/>
          <w:sz w:val="32"/>
          <w:szCs w:val="32"/>
        </w:rPr>
        <w:t>考试秩序，与其他考生保持安全距离，服从现场工作人员安排，</w:t>
      </w:r>
      <w:r>
        <w:rPr>
          <w:rFonts w:hint="eastAsia" w:ascii="仿宋_GB2312" w:hAnsi="仿宋_GB2312" w:eastAsia="仿宋_GB2312" w:cs="仿宋_GB2312"/>
          <w:color w:val="auto"/>
          <w:sz w:val="32"/>
          <w:szCs w:val="32"/>
          <w:lang w:eastAsia="zh-CN"/>
        </w:rPr>
        <w:t>全天面试</w:t>
      </w:r>
      <w:r>
        <w:rPr>
          <w:rFonts w:hint="eastAsia" w:ascii="仿宋_GB2312" w:hAnsi="仿宋_GB2312" w:eastAsia="仿宋_GB2312" w:cs="仿宋_GB2312"/>
          <w:color w:val="auto"/>
          <w:sz w:val="32"/>
          <w:szCs w:val="32"/>
        </w:rPr>
        <w:t>结束后按规定有序离场。</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六</w:t>
      </w:r>
      <w:r>
        <w:rPr>
          <w:rFonts w:hint="eastAsia" w:ascii="仿宋_GB2312" w:hAnsi="仿宋_GB2312" w:eastAsia="仿宋_GB2312" w:cs="仿宋_GB2312"/>
          <w:color w:val="auto"/>
          <w:sz w:val="32"/>
          <w:szCs w:val="32"/>
        </w:rPr>
        <w:t>）考生应在无禁忌的情况下按“应接尽接”原则，提前完成新冠肺炎疫苗接种。</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）在考试组织实施过程中，本须知中未提及的有关疫情防控的其他事宜按照国家和省、市相关规定执行。</w:t>
      </w:r>
    </w:p>
    <w:p>
      <w:pPr>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新冠肺炎疫情防控工作将根据疫情形势适时调整，请广大考生持续关注许昌市的疫情防控政策公告，并严格按照防疫要求，提前做好考前准备工作。</w:t>
      </w:r>
    </w:p>
    <w:p>
      <w:pPr>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color w:val="auto"/>
          <w:sz w:val="32"/>
          <w:szCs w:val="32"/>
        </w:rPr>
      </w:pPr>
    </w:p>
    <w:p>
      <w:pPr>
        <w:pageBreakBefore w:val="0"/>
        <w:widowControl w:val="0"/>
        <w:kinsoku/>
        <w:wordWrap/>
        <w:overflowPunct/>
        <w:topLinePunct w:val="0"/>
        <w:autoSpaceDE/>
        <w:autoSpaceDN/>
        <w:bidi w:val="0"/>
        <w:adjustRightInd/>
        <w:snapToGrid/>
        <w:spacing w:line="600" w:lineRule="exact"/>
        <w:ind w:firstLine="5120" w:firstLineChars="16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中共许昌市委组织部</w:t>
      </w:r>
    </w:p>
    <w:p>
      <w:pPr>
        <w:pageBreakBefore w:val="0"/>
        <w:widowControl w:val="0"/>
        <w:kinsoku/>
        <w:wordWrap/>
        <w:overflowPunct/>
        <w:topLinePunct w:val="0"/>
        <w:autoSpaceDE/>
        <w:autoSpaceDN/>
        <w:bidi w:val="0"/>
        <w:adjustRightInd/>
        <w:snapToGrid/>
        <w:spacing w:line="600" w:lineRule="exact"/>
        <w:ind w:firstLine="5440" w:firstLineChars="1700"/>
        <w:textAlignment w:val="auto"/>
        <w:rPr>
          <w:rFonts w:ascii="仿宋_GB2312" w:hAnsi="仿宋_GB2312" w:eastAsia="仿宋_GB2312" w:cs="仿宋_GB2312"/>
          <w:sz w:val="32"/>
          <w:szCs w:val="32"/>
        </w:rPr>
      </w:pPr>
      <w:r>
        <w:rPr>
          <w:rFonts w:hint="eastAsia" w:ascii="仿宋_GB2312" w:hAnsi="仿宋_GB2312" w:eastAsia="仿宋_GB2312" w:cs="仿宋_GB2312"/>
          <w:color w:val="auto"/>
          <w:sz w:val="32"/>
          <w:szCs w:val="32"/>
        </w:rPr>
        <w:t>2022年7月</w:t>
      </w:r>
      <w:r>
        <w:rPr>
          <w:rFonts w:hint="eastAsia" w:ascii="仿宋_GB2312" w:hAnsi="仿宋_GB2312" w:eastAsia="仿宋_GB2312" w:cs="仿宋_GB2312"/>
          <w:color w:val="auto"/>
          <w:sz w:val="32"/>
          <w:szCs w:val="32"/>
          <w:lang w:val="en-US" w:eastAsia="zh-CN"/>
        </w:rPr>
        <w:t>22</w:t>
      </w:r>
      <w:r>
        <w:rPr>
          <w:rFonts w:hint="eastAsia" w:ascii="仿宋_GB2312" w:hAnsi="仿宋_GB2312" w:eastAsia="仿宋_GB2312" w:cs="仿宋_GB2312"/>
          <w:color w:val="auto"/>
          <w:sz w:val="32"/>
          <w:szCs w:val="32"/>
        </w:rPr>
        <w:t>日</w:t>
      </w:r>
    </w:p>
    <w:sectPr>
      <w:footerReference r:id="rId3" w:type="default"/>
      <w:pgSz w:w="11906" w:h="16838"/>
      <w:pgMar w:top="1701"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zYjhhODNiNjFmMTMwMzJlMTliMWRkNDFhODgzMjcifQ=="/>
  </w:docVars>
  <w:rsids>
    <w:rsidRoot w:val="09CB017C"/>
    <w:rsid w:val="00066728"/>
    <w:rsid w:val="000969AD"/>
    <w:rsid w:val="002073A3"/>
    <w:rsid w:val="002B3E35"/>
    <w:rsid w:val="002E7DCC"/>
    <w:rsid w:val="0032073C"/>
    <w:rsid w:val="00615F87"/>
    <w:rsid w:val="006561D6"/>
    <w:rsid w:val="009446B8"/>
    <w:rsid w:val="00E17118"/>
    <w:rsid w:val="018A73B0"/>
    <w:rsid w:val="04E502C9"/>
    <w:rsid w:val="06544465"/>
    <w:rsid w:val="079F169B"/>
    <w:rsid w:val="082074A1"/>
    <w:rsid w:val="09CB017C"/>
    <w:rsid w:val="0A6F565E"/>
    <w:rsid w:val="0BAC08E9"/>
    <w:rsid w:val="0C765E64"/>
    <w:rsid w:val="0FA21302"/>
    <w:rsid w:val="0FCB257C"/>
    <w:rsid w:val="107E22A9"/>
    <w:rsid w:val="111C620F"/>
    <w:rsid w:val="11604BDC"/>
    <w:rsid w:val="128B7413"/>
    <w:rsid w:val="143B6622"/>
    <w:rsid w:val="14610F3F"/>
    <w:rsid w:val="169721C5"/>
    <w:rsid w:val="16D9133E"/>
    <w:rsid w:val="17D15BAA"/>
    <w:rsid w:val="181F6915"/>
    <w:rsid w:val="18C50D64"/>
    <w:rsid w:val="1A58263A"/>
    <w:rsid w:val="1A7D3275"/>
    <w:rsid w:val="1BA82B1F"/>
    <w:rsid w:val="1C7D3C0B"/>
    <w:rsid w:val="1D363858"/>
    <w:rsid w:val="1D484009"/>
    <w:rsid w:val="1E48649A"/>
    <w:rsid w:val="1E5542E5"/>
    <w:rsid w:val="21EF55AB"/>
    <w:rsid w:val="23424389"/>
    <w:rsid w:val="26195EA4"/>
    <w:rsid w:val="2650413E"/>
    <w:rsid w:val="26984D6C"/>
    <w:rsid w:val="26A24E49"/>
    <w:rsid w:val="281F34FE"/>
    <w:rsid w:val="29B729B5"/>
    <w:rsid w:val="2BA90F74"/>
    <w:rsid w:val="2C554FCF"/>
    <w:rsid w:val="2C857D25"/>
    <w:rsid w:val="2D0246D3"/>
    <w:rsid w:val="2D145EC5"/>
    <w:rsid w:val="2DAE04BB"/>
    <w:rsid w:val="2EE97792"/>
    <w:rsid w:val="304D0FC3"/>
    <w:rsid w:val="304D7D3F"/>
    <w:rsid w:val="30B91345"/>
    <w:rsid w:val="31AD4B3A"/>
    <w:rsid w:val="33D76BD9"/>
    <w:rsid w:val="352F6829"/>
    <w:rsid w:val="3533133B"/>
    <w:rsid w:val="35EF5186"/>
    <w:rsid w:val="365D08DD"/>
    <w:rsid w:val="38CA4549"/>
    <w:rsid w:val="38D436C7"/>
    <w:rsid w:val="39D82839"/>
    <w:rsid w:val="3A0601F4"/>
    <w:rsid w:val="3B1139DC"/>
    <w:rsid w:val="3E0C032F"/>
    <w:rsid w:val="3E813F5F"/>
    <w:rsid w:val="400B56FF"/>
    <w:rsid w:val="40374255"/>
    <w:rsid w:val="4080517B"/>
    <w:rsid w:val="40B97645"/>
    <w:rsid w:val="40C24A53"/>
    <w:rsid w:val="41973A08"/>
    <w:rsid w:val="41AC04BB"/>
    <w:rsid w:val="42463B27"/>
    <w:rsid w:val="433B38E2"/>
    <w:rsid w:val="46413695"/>
    <w:rsid w:val="47117C6E"/>
    <w:rsid w:val="478A0CA0"/>
    <w:rsid w:val="4A2E64EC"/>
    <w:rsid w:val="4B1916E4"/>
    <w:rsid w:val="4B592E0C"/>
    <w:rsid w:val="4CB100E9"/>
    <w:rsid w:val="4CBC775A"/>
    <w:rsid w:val="4D19055F"/>
    <w:rsid w:val="4D6C151C"/>
    <w:rsid w:val="4DD94895"/>
    <w:rsid w:val="4EA2112B"/>
    <w:rsid w:val="51B12745"/>
    <w:rsid w:val="520F6DE4"/>
    <w:rsid w:val="52BE768D"/>
    <w:rsid w:val="52C42AB1"/>
    <w:rsid w:val="56890E23"/>
    <w:rsid w:val="56925F29"/>
    <w:rsid w:val="57CA63B1"/>
    <w:rsid w:val="57EA7C48"/>
    <w:rsid w:val="59B06BE0"/>
    <w:rsid w:val="5C312648"/>
    <w:rsid w:val="5CBA6783"/>
    <w:rsid w:val="5E6727C1"/>
    <w:rsid w:val="5EF808DC"/>
    <w:rsid w:val="5F233029"/>
    <w:rsid w:val="5F367055"/>
    <w:rsid w:val="60ED52BD"/>
    <w:rsid w:val="6262289B"/>
    <w:rsid w:val="62FA57FB"/>
    <w:rsid w:val="63511F1B"/>
    <w:rsid w:val="645B1B2A"/>
    <w:rsid w:val="65AE64AA"/>
    <w:rsid w:val="673C2A33"/>
    <w:rsid w:val="6A002D52"/>
    <w:rsid w:val="6A042842"/>
    <w:rsid w:val="6A850C5B"/>
    <w:rsid w:val="6EFA4214"/>
    <w:rsid w:val="70835FC4"/>
    <w:rsid w:val="7249156C"/>
    <w:rsid w:val="72BF37AA"/>
    <w:rsid w:val="72D323D4"/>
    <w:rsid w:val="732915AE"/>
    <w:rsid w:val="73530396"/>
    <w:rsid w:val="745055A9"/>
    <w:rsid w:val="74FF23B1"/>
    <w:rsid w:val="75FA0295"/>
    <w:rsid w:val="76BF021D"/>
    <w:rsid w:val="77AB56A1"/>
    <w:rsid w:val="78016613"/>
    <w:rsid w:val="7B684042"/>
    <w:rsid w:val="7BEC3DE0"/>
    <w:rsid w:val="7CF91FAF"/>
    <w:rsid w:val="7EF56866"/>
    <w:rsid w:val="7F0950A3"/>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keepNext/>
      <w:keepLines/>
      <w:outlineLvl w:val="1"/>
    </w:pPr>
    <w:rPr>
      <w:rFonts w:ascii="黑体" w:hAnsi="黑体" w:eastAsia="黑体" w:cs="黑体"/>
      <w:bCs/>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First Indent"/>
    <w:basedOn w:val="3"/>
    <w:qFormat/>
    <w:uiPriority w:val="0"/>
    <w:pPr>
      <w:ind w:firstLine="420" w:firstLineChars="100"/>
    </w:pPr>
  </w:style>
  <w:style w:type="character" w:styleId="9">
    <w:name w:val="Emphasis"/>
    <w:basedOn w:val="8"/>
    <w:qFormat/>
    <w:uiPriority w:val="0"/>
    <w:rPr>
      <w:i/>
    </w:rPr>
  </w:style>
  <w:style w:type="character" w:styleId="10">
    <w:name w:val="Hyperlink"/>
    <w:basedOn w:val="8"/>
    <w:qFormat/>
    <w:uiPriority w:val="0"/>
    <w:rPr>
      <w:color w:val="0000FF"/>
      <w:u w:val="single"/>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Pages>
  <Words>1329</Words>
  <Characters>1348</Characters>
  <Lines>20</Lines>
  <Paragraphs>5</Paragraphs>
  <TotalTime>0</TotalTime>
  <ScaleCrop>false</ScaleCrop>
  <LinksUpToDate>false</LinksUpToDate>
  <CharactersWithSpaces>1348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2022-06-23T04:06:00Z</dcterms:created>
  <dc:creator>Administrator</dc:creator>
  <cp:lastModifiedBy>Administrator</cp:lastModifiedBy>
  <cp:lastPrinted>2022-07-22T02:32:00Z</cp:lastPrinted>
  <dcterms:modified xsi:type="dcterms:W3CDTF">2022-07-22T02:40:12Z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D01751E03BBF4A96BE1371426B94B86B</vt:lpwstr>
  </property>
</Properties>
</file>